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52"/>
          <w:szCs w:val="52"/>
          <w14:textFill>
            <w14:solidFill>
              <w14:schemeClr w14:val="tx1"/>
            </w14:solidFill>
          </w14:textFill>
        </w:rPr>
      </w:pPr>
    </w:p>
    <w:p>
      <w:pPr>
        <w:spacing w:line="720" w:lineRule="auto"/>
        <w:jc w:val="center"/>
        <w:rPr>
          <w:rFonts w:hint="default" w:ascii="Times New Roman" w:hAnsi="Times New Roman" w:eastAsia="黑体" w:cs="Times New Roman"/>
          <w:color w:val="000000" w:themeColor="text1"/>
          <w:sz w:val="48"/>
          <w:szCs w:val="48"/>
          <w14:textFill>
            <w14:solidFill>
              <w14:schemeClr w14:val="tx1"/>
            </w14:solidFill>
          </w14:textFill>
        </w:rPr>
      </w:pPr>
    </w:p>
    <w:p>
      <w:pPr>
        <w:spacing w:line="720" w:lineRule="auto"/>
        <w:jc w:val="center"/>
        <w:rPr>
          <w:rFonts w:hint="default" w:ascii="Times New Roman" w:hAnsi="Times New Roman" w:eastAsia="黑体" w:cs="Times New Roman"/>
          <w:color w:val="000000" w:themeColor="text1"/>
          <w:sz w:val="48"/>
          <w:szCs w:val="48"/>
          <w:lang w:eastAsia="zh-CN"/>
          <w14:textFill>
            <w14:solidFill>
              <w14:schemeClr w14:val="tx1"/>
            </w14:solidFill>
          </w14:textFill>
        </w:rPr>
      </w:pPr>
      <w:r>
        <w:rPr>
          <w:rFonts w:hint="default" w:ascii="Times New Roman" w:hAnsi="Times New Roman" w:eastAsia="黑体" w:cs="Times New Roman"/>
          <w:color w:val="000000" w:themeColor="text1"/>
          <w:sz w:val="48"/>
          <w:szCs w:val="48"/>
          <w:lang w:eastAsia="zh-CN"/>
          <w14:textFill>
            <w14:solidFill>
              <w14:schemeClr w14:val="tx1"/>
            </w14:solidFill>
          </w14:textFill>
        </w:rPr>
        <w:t>梅州市佳顺发实业有限公司</w:t>
      </w:r>
    </w:p>
    <w:p>
      <w:pPr>
        <w:spacing w:line="720" w:lineRule="auto"/>
        <w:jc w:val="center"/>
        <w:rPr>
          <w:rFonts w:hint="default" w:ascii="Times New Roman" w:hAnsi="Times New Roman" w:eastAsia="黑体" w:cs="Times New Roman"/>
          <w:color w:val="000000" w:themeColor="text1"/>
          <w:sz w:val="48"/>
          <w:szCs w:val="48"/>
          <w:lang w:eastAsia="zh-CN"/>
          <w14:textFill>
            <w14:solidFill>
              <w14:schemeClr w14:val="tx1"/>
            </w14:solidFill>
          </w14:textFill>
        </w:rPr>
      </w:pPr>
      <w:r>
        <w:rPr>
          <w:rFonts w:hint="default" w:ascii="Times New Roman" w:hAnsi="Times New Roman" w:eastAsia="黑体" w:cs="Times New Roman"/>
          <w:color w:val="000000" w:themeColor="text1"/>
          <w:sz w:val="48"/>
          <w:szCs w:val="48"/>
          <w:lang w:eastAsia="zh-CN"/>
          <w14:textFill>
            <w14:solidFill>
              <w14:schemeClr w14:val="tx1"/>
            </w14:solidFill>
          </w14:textFill>
        </w:rPr>
        <w:t>楼梯扶手生产项目</w:t>
      </w:r>
    </w:p>
    <w:p>
      <w:pPr>
        <w:spacing w:line="720" w:lineRule="auto"/>
        <w:jc w:val="center"/>
        <w:rPr>
          <w:rFonts w:hint="default" w:ascii="Times New Roman" w:hAnsi="Times New Roman" w:eastAsia="黑体" w:cs="Times New Roman"/>
          <w:color w:val="000000" w:themeColor="text1"/>
          <w:sz w:val="52"/>
          <w:szCs w:val="52"/>
          <w14:textFill>
            <w14:solidFill>
              <w14:schemeClr w14:val="tx1"/>
            </w14:solidFill>
          </w14:textFill>
        </w:rPr>
      </w:pPr>
      <w:r>
        <w:rPr>
          <w:rFonts w:hint="default" w:ascii="Times New Roman" w:hAnsi="Times New Roman" w:eastAsia="黑体" w:cs="Times New Roman"/>
          <w:color w:val="000000" w:themeColor="text1"/>
          <w:sz w:val="48"/>
          <w:szCs w:val="48"/>
          <w14:textFill>
            <w14:solidFill>
              <w14:schemeClr w14:val="tx1"/>
            </w14:solidFill>
          </w14:textFill>
        </w:rPr>
        <w:t>竣工环境保护验收监测报告表</w:t>
      </w:r>
    </w:p>
    <w:p>
      <w:pPr>
        <w:jc w:val="center"/>
        <w:rPr>
          <w:rFonts w:hint="default" w:ascii="Times New Roman" w:hAnsi="Times New Roman" w:cs="Times New Roman"/>
          <w:color w:val="000000" w:themeColor="text1"/>
          <w:sz w:val="28"/>
          <w14:textFill>
            <w14:solidFill>
              <w14:schemeClr w14:val="tx1"/>
            </w14:solidFill>
          </w14:textFill>
        </w:rPr>
      </w:pPr>
    </w:p>
    <w:p>
      <w:pPr>
        <w:jc w:val="center"/>
        <w:rPr>
          <w:rFonts w:hint="default" w:ascii="Times New Roman" w:hAnsi="Times New Roman" w:cs="Times New Roman"/>
          <w:color w:val="000000" w:themeColor="text1"/>
          <w:sz w:val="28"/>
          <w14:textFill>
            <w14:solidFill>
              <w14:schemeClr w14:val="tx1"/>
            </w14:solidFill>
          </w14:textFill>
        </w:rPr>
      </w:pPr>
    </w:p>
    <w:p>
      <w:pPr>
        <w:jc w:val="center"/>
        <w:rPr>
          <w:rFonts w:hint="default" w:ascii="Times New Roman" w:hAnsi="Times New Roman" w:cs="Times New Roman"/>
          <w:color w:val="000000" w:themeColor="text1"/>
          <w:sz w:val="28"/>
          <w14:textFill>
            <w14:solidFill>
              <w14:schemeClr w14:val="tx1"/>
            </w14:solidFill>
          </w14:textFill>
        </w:rPr>
      </w:pPr>
    </w:p>
    <w:p>
      <w:pPr>
        <w:jc w:val="center"/>
        <w:rPr>
          <w:rFonts w:hint="default" w:ascii="Times New Roman" w:hAnsi="Times New Roman" w:cs="Times New Roman"/>
          <w:color w:val="000000" w:themeColor="text1"/>
          <w:sz w:val="28"/>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widowControl w:val="0"/>
        <w:spacing w:before="240" w:line="360" w:lineRule="auto"/>
        <w:ind w:firstLine="640" w:firstLineChars="200"/>
        <w:jc w:val="both"/>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p>
    <w:p>
      <w:pPr>
        <w:jc w:val="center"/>
        <w:rPr>
          <w:rFonts w:hint="default" w:ascii="Times New Roman" w:hAnsi="Times New Roman" w:eastAsia="宋体" w:cs="Times New Roman"/>
          <w:color w:val="000000" w:themeColor="text1"/>
          <w:sz w:val="32"/>
          <w:szCs w:val="32"/>
          <w:lang w:eastAsia="zh-CN"/>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建设单位：</w:t>
      </w:r>
      <w:r>
        <w:rPr>
          <w:rFonts w:hint="default" w:ascii="Times New Roman" w:hAnsi="Times New Roman" w:cs="Times New Roman"/>
          <w:color w:val="000000" w:themeColor="text1"/>
          <w:sz w:val="32"/>
          <w:szCs w:val="32"/>
          <w:lang w:eastAsia="zh-CN"/>
          <w14:textFill>
            <w14:solidFill>
              <w14:schemeClr w14:val="tx1"/>
            </w14:solidFill>
          </w14:textFill>
        </w:rPr>
        <w:t>梅州市佳顺发实业有限公司</w:t>
      </w:r>
    </w:p>
    <w:p>
      <w:pPr>
        <w:widowControl w:val="0"/>
        <w:spacing w:before="240" w:line="360" w:lineRule="auto"/>
        <w:ind w:firstLine="0" w:firstLineChars="0"/>
        <w:jc w:val="cente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t>编制日期：二0一九年十二月</w:t>
      </w:r>
    </w:p>
    <w:p>
      <w:pP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32"/>
          <w:szCs w:val="32"/>
          <w:lang w:val="en-US" w:eastAsia="zh-CN" w:bidi="ar-SA"/>
          <w14:textFill>
            <w14:solidFill>
              <w14:schemeClr w14:val="tx1"/>
            </w14:solidFill>
          </w14:textFill>
        </w:rPr>
        <w:br w:type="page"/>
      </w:r>
    </w:p>
    <w:sdt>
      <w:sdtP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id w:val="147481009"/>
        <w15:color w:val="DBDBDB"/>
        <w:docPartObj>
          <w:docPartGallery w:val="Table of Contents"/>
          <w:docPartUnique/>
        </w:docPartObj>
      </w:sdtPr>
      <w:sdtEndP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720" w:lineRule="auto"/>
            <w:ind w:left="0" w:leftChars="0" w:right="0" w:rightChars="0" w:firstLine="0" w:firstLineChars="0"/>
            <w:jc w:val="center"/>
            <w:textAlignment w:val="auto"/>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eastAsia="黑体" w:cs="Times New Roman"/>
              <w:b/>
              <w:bCs/>
              <w:color w:val="000000" w:themeColor="text1"/>
              <w:sz w:val="32"/>
              <w:szCs w:val="32"/>
              <w14:textFill>
                <w14:solidFill>
                  <w14:schemeClr w14:val="tx1"/>
                </w14:solidFill>
              </w14:textFill>
            </w:rPr>
            <w:t>目录</w:t>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TOC \o "1-1" \h \u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_Toc18415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表一  投产项目简表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_Toc18415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_Toc26261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表二  工程建设内容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_Toc15604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 xml:space="preserve">表三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主要污染源、污染物处理和排放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_Toc6612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表四  建设项目环境影响报告表主要结论及审批部门审批决定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_Toc15980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表五  验收监测质量保证及质量控制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_Toc19818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表六  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_Toc24271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表七  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_Toc4465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表八  验收监测结论及建议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_Toc4465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_Toc8009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附件1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梅州市佳顺发实业有限公司</w:t>
          </w:r>
          <w:r>
            <w:rPr>
              <w:rFonts w:hint="default" w:ascii="Times New Roman" w:hAnsi="Times New Roman" w:eastAsia="宋体" w:cs="Times New Roman"/>
              <w:sz w:val="24"/>
              <w:szCs w:val="24"/>
            </w:rPr>
            <w:t>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_Toc8009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_Toc13815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附件2 梅州市梅江区环保局环评批复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_Toc13815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_Toc23800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 xml:space="preserve">附件3 </w:t>
          </w:r>
          <w:r>
            <w:rPr>
              <w:rFonts w:hint="default" w:ascii="Times New Roman" w:hAnsi="Times New Roman" w:eastAsia="宋体" w:cs="Times New Roman"/>
              <w:sz w:val="24"/>
              <w:szCs w:val="24"/>
              <w:lang w:val="en-US" w:eastAsia="zh-CN"/>
            </w:rPr>
            <w:t>广东准星检测有限公司现场验收检测报告1</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9"/>
            <w:keepNext w:val="0"/>
            <w:keepLines w:val="0"/>
            <w:pageBreakBefore w:val="0"/>
            <w:widowControl w:val="0"/>
            <w:tabs>
              <w:tab w:val="right" w:leader="dot" w:pos="8902"/>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sz w:val="24"/>
              <w:szCs w:val="24"/>
              <w:lang w:val="en-US" w:eastAsia="zh-CN"/>
            </w:rPr>
            <w:instrText xml:space="preserve"> HYPERLINK \l _Toc25542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广东准星检测有限公司现场验收检测报告2</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p>
        <w:p>
          <w:pPr>
            <w:pStyle w:val="2"/>
            <w:ind w:left="0" w:leftChars="0" w:firstLine="0" w:firstLineChars="0"/>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end"/>
          </w:r>
        </w:p>
      </w:sdtContent>
    </w:sdt>
    <w:p>
      <w:pPr>
        <w:widowControl/>
        <w:jc w:val="left"/>
        <w:rPr>
          <w:rFonts w:hint="default" w:ascii="Times New Roman" w:hAnsi="Times New Roman" w:cs="Times New Roman"/>
          <w:color w:val="000000" w:themeColor="text1"/>
          <w:sz w:val="28"/>
          <w14:textFill>
            <w14:solidFill>
              <w14:schemeClr w14:val="tx1"/>
            </w14:solidFill>
          </w14:textFill>
        </w:rPr>
      </w:pPr>
    </w:p>
    <w:p>
      <w:pPr>
        <w:widowControl/>
        <w:jc w:val="left"/>
        <w:rPr>
          <w:rFonts w:hint="default" w:ascii="Times New Roman" w:hAnsi="Times New Roman" w:cs="Times New Roman"/>
          <w:color w:val="000000" w:themeColor="text1"/>
          <w:sz w:val="28"/>
          <w14:textFill>
            <w14:solidFill>
              <w14:schemeClr w14:val="tx1"/>
            </w14:solidFill>
          </w14:textFill>
        </w:rPr>
      </w:pPr>
    </w:p>
    <w:p>
      <w:pPr>
        <w:spacing w:line="276" w:lineRule="auto"/>
        <w:jc w:val="left"/>
        <w:outlineLvl w:val="9"/>
        <w:rPr>
          <w:rFonts w:hint="default" w:ascii="Times New Roman" w:hAnsi="Times New Roman" w:cs="Times New Roman"/>
          <w:b/>
          <w:color w:val="000000" w:themeColor="text1"/>
          <w:sz w:val="28"/>
          <w:szCs w:val="28"/>
          <w14:textFill>
            <w14:solidFill>
              <w14:schemeClr w14:val="tx1"/>
            </w14:solidFill>
          </w14:textFill>
        </w:rPr>
        <w:sectPr>
          <w:pgSz w:w="11850" w:h="16783"/>
          <w:pgMar w:top="1797" w:right="1474" w:bottom="1155" w:left="1474" w:header="851" w:footer="992" w:gutter="0"/>
          <w:pgNumType w:start="1"/>
          <w:cols w:space="720" w:num="1"/>
          <w:docGrid w:type="lines" w:linePitch="319" w:charSpace="0"/>
        </w:sectPr>
      </w:pPr>
    </w:p>
    <w:p>
      <w:pPr>
        <w:spacing w:line="276" w:lineRule="auto"/>
        <w:ind w:firstLine="281" w:firstLineChars="100"/>
        <w:jc w:val="left"/>
        <w:outlineLvl w:val="0"/>
        <w:rPr>
          <w:rFonts w:hint="default" w:ascii="Times New Roman" w:hAnsi="Times New Roman" w:cs="Times New Roman"/>
          <w:b/>
          <w:color w:val="000000" w:themeColor="text1"/>
          <w:sz w:val="24"/>
          <w:szCs w:val="24"/>
          <w14:textFill>
            <w14:solidFill>
              <w14:schemeClr w14:val="tx1"/>
            </w14:solidFill>
          </w14:textFill>
        </w:rPr>
      </w:pPr>
      <w:bookmarkStart w:id="0" w:name="_Toc18415"/>
      <w:bookmarkStart w:id="1" w:name="_Toc10734"/>
      <w:r>
        <w:rPr>
          <w:rFonts w:hint="default" w:ascii="Times New Roman" w:hAnsi="Times New Roman" w:cs="Times New Roman"/>
          <w:b/>
          <w:color w:val="000000" w:themeColor="text1"/>
          <w:sz w:val="28"/>
          <w:szCs w:val="28"/>
          <w14:textFill>
            <w14:solidFill>
              <w14:schemeClr w14:val="tx1"/>
            </w14:solidFill>
          </w14:textFill>
        </w:rPr>
        <w:t>表一</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投产项目简表</w:t>
      </w:r>
      <w:bookmarkEnd w:id="0"/>
      <w:bookmarkEnd w:id="1"/>
    </w:p>
    <w:tbl>
      <w:tblPr>
        <w:tblStyle w:val="1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8"/>
        <w:gridCol w:w="2784"/>
        <w:gridCol w:w="2628"/>
        <w:gridCol w:w="967"/>
        <w:gridCol w:w="100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建设项目名称</w:t>
            </w:r>
          </w:p>
        </w:tc>
        <w:tc>
          <w:tcPr>
            <w:tcW w:w="8300" w:type="dxa"/>
            <w:gridSpan w:val="5"/>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建设单位名称</w:t>
            </w:r>
          </w:p>
        </w:tc>
        <w:tc>
          <w:tcPr>
            <w:tcW w:w="8300" w:type="dxa"/>
            <w:gridSpan w:val="5"/>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建设地点</w:t>
            </w:r>
          </w:p>
        </w:tc>
        <w:tc>
          <w:tcPr>
            <w:tcW w:w="8300" w:type="dxa"/>
            <w:gridSpan w:val="5"/>
            <w:noWrap w:val="0"/>
            <w:vAlign w:val="center"/>
          </w:tcPr>
          <w:p>
            <w:pPr>
              <w:widowControl w:val="0"/>
              <w:adjustRightInd/>
              <w:spacing w:before="0" w:after="0" w:line="240" w:lineRule="auto"/>
              <w:ind w:firstLine="0"/>
              <w:jc w:val="center"/>
              <w:textAlignment w:val="auto"/>
              <w:rPr>
                <w:rFonts w:hint="default" w:ascii="Times New Roman" w:hAnsi="Times New Roman" w:eastAsia="宋体" w:cs="Times New Roman"/>
                <w:color w:val="000000" w:themeColor="text1"/>
                <w:kern w:val="28"/>
                <w:sz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8"/>
                <w:sz w:val="24"/>
                <w:lang w:val="en-US" w:eastAsia="zh-CN" w:bidi="ar-SA"/>
                <w14:textFill>
                  <w14:solidFill>
                    <w14:schemeClr w14:val="tx1"/>
                  </w14:solidFill>
                </w14:textFill>
              </w:rPr>
              <w:t>梅州市梅江区三角镇梅州金三角旋窑水泥厂有限公司8号楼</w:t>
            </w:r>
          </w:p>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（东经116°06'47.47"；北纬24°14'01.14"）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建设项目性质</w:t>
            </w:r>
          </w:p>
        </w:tc>
        <w:tc>
          <w:tcPr>
            <w:tcW w:w="8300" w:type="dxa"/>
            <w:gridSpan w:val="5"/>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新建</w:t>
            </w:r>
            <w:r>
              <w:rPr>
                <w:rFonts w:hint="default" w:ascii="Times New Roman" w:hAnsi="Times New Roman" w:cs="Times New Roman"/>
                <w:color w:val="000000" w:themeColor="text1"/>
                <w:sz w:val="24"/>
                <w:szCs w:val="24"/>
                <w:bdr w:val="single" w:color="auto" w:sz="4" w:space="0"/>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改扩建□    技改□    （划</w:t>
            </w:r>
            <w:r>
              <w:rPr>
                <w:rFonts w:hint="default" w:ascii="Times New Roman" w:hAnsi="Times New Roman" w:cs="Times New Roman"/>
                <w:color w:val="000000" w:themeColor="text1"/>
                <w:sz w:val="24"/>
                <w:szCs w:val="24"/>
                <w14:textFill>
                  <w14:solidFill>
                    <w14:schemeClr w14:val="tx1"/>
                  </w14:solidFill>
                </w14:textFill>
              </w:rPr>
              <w:sym w:font="Symbol" w:char="F0D6"/>
            </w:r>
            <w:r>
              <w:rPr>
                <w:rFonts w:hint="default" w:ascii="Times New Roman" w:hAnsi="Times New Roman"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主要产品名称</w:t>
            </w:r>
          </w:p>
        </w:tc>
        <w:tc>
          <w:tcPr>
            <w:tcW w:w="8300" w:type="dxa"/>
            <w:gridSpan w:val="5"/>
            <w:noWrap w:val="0"/>
            <w:vAlign w:val="top"/>
          </w:tcPr>
          <w:p>
            <w:pPr>
              <w:widowControl w:val="0"/>
              <w:adjustRightInd w:val="0"/>
              <w:snapToGrid w:val="0"/>
              <w:spacing w:before="0" w:line="240" w:lineRule="auto"/>
              <w:ind w:firstLine="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楼梯扶手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设计生产能力</w:t>
            </w:r>
          </w:p>
        </w:tc>
        <w:tc>
          <w:tcPr>
            <w:tcW w:w="8300" w:type="dxa"/>
            <w:gridSpan w:val="5"/>
            <w:noWrap w:val="0"/>
            <w:vAlign w:val="top"/>
          </w:tcPr>
          <w:p>
            <w:pPr>
              <w:spacing w:line="400" w:lineRule="exact"/>
              <w:jc w:val="center"/>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年产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楼梯扶手</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14吨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实际生产能力</w:t>
            </w:r>
          </w:p>
        </w:tc>
        <w:tc>
          <w:tcPr>
            <w:tcW w:w="8300" w:type="dxa"/>
            <w:gridSpan w:val="5"/>
            <w:noWrap w:val="0"/>
            <w:vAlign w:val="top"/>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月产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楼梯扶手</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1.16吨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环评时间</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w:t>
            </w: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开工日期</w:t>
            </w:r>
          </w:p>
        </w:tc>
        <w:tc>
          <w:tcPr>
            <w:tcW w:w="2888" w:type="dxa"/>
            <w:gridSpan w:val="3"/>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调试时间</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月</w:t>
            </w: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现场监测时间</w:t>
            </w:r>
          </w:p>
        </w:tc>
        <w:tc>
          <w:tcPr>
            <w:tcW w:w="2888" w:type="dxa"/>
            <w:gridSpan w:val="3"/>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年11月0</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日</w:t>
            </w:r>
          </w:p>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2019年</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02-03</w:t>
            </w:r>
            <w:r>
              <w:rPr>
                <w:rFonts w:hint="default" w:ascii="Times New Roman" w:hAnsi="Times New Roman" w:cs="Times New Roman"/>
                <w:color w:val="000000" w:themeColor="text1"/>
                <w:sz w:val="24"/>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498" w:type="dxa"/>
            <w:noWrap w:val="0"/>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环评报告表</w:t>
            </w:r>
          </w:p>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审批部门</w:t>
            </w:r>
          </w:p>
        </w:tc>
        <w:tc>
          <w:tcPr>
            <w:tcW w:w="2784" w:type="dxa"/>
            <w:noWrap w:val="0"/>
            <w:vAlign w:val="center"/>
          </w:tcPr>
          <w:p>
            <w:pPr>
              <w:spacing w:line="400" w:lineRule="exact"/>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梅州市梅江区环境保护局</w:t>
            </w:r>
          </w:p>
        </w:tc>
        <w:tc>
          <w:tcPr>
            <w:tcW w:w="2628" w:type="dxa"/>
            <w:noWrap w:val="0"/>
            <w:vAlign w:val="center"/>
          </w:tcPr>
          <w:p>
            <w:pPr>
              <w:spacing w:line="400" w:lineRule="exact"/>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环评报告表</w:t>
            </w:r>
          </w:p>
          <w:p>
            <w:pPr>
              <w:spacing w:line="400" w:lineRule="exact"/>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编制单位</w:t>
            </w:r>
          </w:p>
        </w:tc>
        <w:tc>
          <w:tcPr>
            <w:tcW w:w="2888" w:type="dxa"/>
            <w:gridSpan w:val="3"/>
            <w:noWrap w:val="0"/>
            <w:vAlign w:val="center"/>
          </w:tcPr>
          <w:p>
            <w:pPr>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江苏新清源环保有限公司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环保设施设计单位</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环保设施施工单位</w:t>
            </w:r>
          </w:p>
        </w:tc>
        <w:tc>
          <w:tcPr>
            <w:tcW w:w="2888" w:type="dxa"/>
            <w:gridSpan w:val="3"/>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投资总概算</w:t>
            </w:r>
          </w:p>
        </w:tc>
        <w:tc>
          <w:tcPr>
            <w:tcW w:w="2784"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0万元</w:t>
            </w:r>
          </w:p>
        </w:tc>
        <w:tc>
          <w:tcPr>
            <w:tcW w:w="2628"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环保投资总概算</w:t>
            </w:r>
          </w:p>
        </w:tc>
        <w:tc>
          <w:tcPr>
            <w:tcW w:w="967"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元</w:t>
            </w:r>
          </w:p>
        </w:tc>
        <w:tc>
          <w:tcPr>
            <w:tcW w:w="1005" w:type="dxa"/>
            <w:noWrap w:val="0"/>
            <w:vAlign w:val="center"/>
          </w:tcPr>
          <w:p>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比例</w:t>
            </w:r>
          </w:p>
        </w:tc>
        <w:tc>
          <w:tcPr>
            <w:tcW w:w="916" w:type="dxa"/>
            <w:noWrap w:val="0"/>
            <w:vAlign w:val="center"/>
          </w:tcPr>
          <w:p>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149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实际总投资</w:t>
            </w:r>
          </w:p>
        </w:tc>
        <w:tc>
          <w:tcPr>
            <w:tcW w:w="2784"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万元</w:t>
            </w:r>
          </w:p>
        </w:tc>
        <w:tc>
          <w:tcPr>
            <w:tcW w:w="2628"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实际环保投资</w:t>
            </w:r>
          </w:p>
        </w:tc>
        <w:tc>
          <w:tcPr>
            <w:tcW w:w="967"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元</w:t>
            </w:r>
          </w:p>
        </w:tc>
        <w:tc>
          <w:tcPr>
            <w:tcW w:w="1005" w:type="dxa"/>
            <w:noWrap w:val="0"/>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比例</w:t>
            </w:r>
          </w:p>
        </w:tc>
        <w:tc>
          <w:tcPr>
            <w:tcW w:w="916"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40</w:t>
            </w:r>
            <w:r>
              <w:rPr>
                <w:rFonts w:hint="default" w:ascii="Times New Roman" w:hAnsi="Times New Roman" w:cs="Times New Roman"/>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4" w:hRule="atLeast"/>
          <w:jc w:val="center"/>
        </w:trPr>
        <w:tc>
          <w:tcPr>
            <w:tcW w:w="1498" w:type="dxa"/>
            <w:vMerge w:val="restart"/>
            <w:noWrap w:val="0"/>
            <w:vAlign w:val="center"/>
          </w:tcPr>
          <w:p>
            <w:pPr>
              <w:snapToGrid w:val="0"/>
              <w:spacing w:line="360" w:lineRule="auto"/>
              <w:ind w:left="482" w:hanging="482" w:hangingChars="20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验收监测依据</w:t>
            </w:r>
          </w:p>
        </w:tc>
        <w:tc>
          <w:tcPr>
            <w:tcW w:w="8300" w:type="dxa"/>
            <w:gridSpan w:val="5"/>
            <w:noWrap w:val="0"/>
            <w:vAlign w:val="top"/>
          </w:tcPr>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1、环境保护相关法律、法规和规章制度</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（1）《中华人民共和国环境保护法》，2015.1.1；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（2）《中华人民共和国大气污染防治法》，自2016年1月1日起施行；</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（3）《中华人民共和国水污染防治法》，2008.2.28；</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（4）《中华人民共和国固体废物污染环境防治法》，2016.11.7修订；</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（5）《中华人民共和国环境噪声污染防治法》，1996.9.1；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（6）《中华人民共和国水土保持法》，2010.12.25；</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（7）《中华人民共和国环境影响评价法》，2016.9.1；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（8）《中华人民共和国清洁生产促进法》，2012年修订；</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（9）《建设项目环境管理条例》，国务院令第253号，2017.7.16修订；</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（10）《建设项目环境影响评价分类管理名录》，2017.9.1；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（11）《国务院关于修改&lt;建设项目环境保护管理条例&gt;的决定》，国务院令第682号；</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（12）《关于发布&lt;建设项目竣工环境保护验收暂行办法&gt;的公告》，国环规环评[2017]4号；</w:t>
            </w:r>
          </w:p>
          <w:p>
            <w:pPr>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（13）《关于转发环境保护部&lt;建设项目竣工环境保护验收暂行办法&gt;的函》，粤环函〔2017〕1945号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7" w:hRule="atLeast"/>
          <w:jc w:val="center"/>
        </w:trPr>
        <w:tc>
          <w:tcPr>
            <w:tcW w:w="1498" w:type="dxa"/>
            <w:vMerge w:val="continue"/>
            <w:noWrap w:val="0"/>
            <w:vAlign w:val="center"/>
          </w:tcPr>
          <w:p>
            <w:pPr>
              <w:snapToGrid w:val="0"/>
              <w:spacing w:line="360" w:lineRule="auto"/>
              <w:ind w:left="482" w:hanging="482" w:hangingChars="200"/>
              <w:jc w:val="center"/>
              <w:rPr>
                <w:rFonts w:hint="default" w:ascii="Times New Roman" w:hAnsi="Times New Roman" w:cs="Times New Roman"/>
                <w:b/>
                <w:color w:val="000000" w:themeColor="text1"/>
                <w:sz w:val="24"/>
                <w:szCs w:val="24"/>
                <w14:textFill>
                  <w14:solidFill>
                    <w14:schemeClr w14:val="tx1"/>
                  </w14:solidFill>
                </w14:textFill>
              </w:rPr>
            </w:pPr>
          </w:p>
        </w:tc>
        <w:tc>
          <w:tcPr>
            <w:tcW w:w="8300" w:type="dxa"/>
            <w:gridSpan w:val="5"/>
            <w:noWrap w:val="0"/>
            <w:vAlign w:val="top"/>
          </w:tcPr>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2、竣工环境保护验收技术规范</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（1）《环境影响评价技术导则  总则》，HJ/T2.1-2011；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（2）《环境影响评价技术导则  大气环境》，HJ2.2-2008；</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（3）《环境影响评价技术导则  地面水环境》，HJ/T2.3-1993；</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（4）《环境影响评价技术导则 地下水环境》，（HJ610-2016）；</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（5）《环境影响评价技术导则  声环境》，HJ2.4-2009；</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（6）《农田灌溉水质标准》（GB5084-2005）；</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（8）《大气污染物排放限值》（DB44/27-2001）；</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（9）《家具制造行业挥发性有机化合物排放标准》（DB 44/814-2010）；</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（10）《工业企业厂界环境噪声排放标准》（GB12348-2008）；</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（11）《一般工业固体废物贮存、处置场污染控制标准》（GB18599-2001）及其2013年修改单；</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）《建设项目竣工环境保护验收技术指南  污染影响类》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498" w:type="dxa"/>
            <w:vMerge w:val="continue"/>
            <w:noWrap w:val="0"/>
            <w:vAlign w:val="center"/>
          </w:tcPr>
          <w:p>
            <w:pPr>
              <w:snapToGrid w:val="0"/>
              <w:spacing w:line="360" w:lineRule="auto"/>
              <w:ind w:left="482" w:hanging="482" w:hangingChars="200"/>
              <w:jc w:val="center"/>
              <w:rPr>
                <w:rFonts w:hint="default" w:ascii="Times New Roman" w:hAnsi="Times New Roman" w:cs="Times New Roman"/>
                <w:b/>
                <w:color w:val="000000" w:themeColor="text1"/>
                <w:sz w:val="24"/>
                <w:szCs w:val="24"/>
                <w14:textFill>
                  <w14:solidFill>
                    <w14:schemeClr w14:val="tx1"/>
                  </w14:solidFill>
                </w14:textFill>
              </w:rPr>
            </w:pPr>
          </w:p>
        </w:tc>
        <w:tc>
          <w:tcPr>
            <w:tcW w:w="8300" w:type="dxa"/>
            <w:gridSpan w:val="5"/>
            <w:noWrap w:val="0"/>
            <w:vAlign w:val="top"/>
          </w:tcPr>
          <w:p>
            <w:pPr>
              <w:numPr>
                <w:ilvl w:val="0"/>
                <w:numId w:val="1"/>
              </w:num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项目的其他资料</w:t>
            </w:r>
          </w:p>
          <w:p>
            <w:pPr>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环境影响报告表》（</w:t>
            </w:r>
            <w:r>
              <w:rPr>
                <w:rFonts w:hint="default" w:ascii="Times New Roman" w:hAnsi="Times New Roman" w:cs="Times New Roman"/>
                <w:color w:val="000000" w:themeColor="text1"/>
                <w:sz w:val="24"/>
                <w:szCs w:val="24"/>
                <w:lang w:eastAsia="zh-CN"/>
                <w14:textFill>
                  <w14:solidFill>
                    <w14:schemeClr w14:val="tx1"/>
                  </w14:solidFill>
                </w14:textFill>
              </w:rPr>
              <w:t>江苏新清源环保有限公司</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月）；</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（2）《梅州市梅江区环境保护局关于</w:t>
            </w: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环境影响评价报告表的批复意见》（梅区环建函[201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]0</w:t>
            </w:r>
            <w:r>
              <w:rPr>
                <w:rFonts w:hint="default" w:ascii="Times New Roman" w:hAnsi="Times New Roman" w:cs="Times New Roman"/>
                <w:color w:val="000000" w:themeColor="text1"/>
                <w:sz w:val="24"/>
                <w:szCs w:val="24"/>
                <w:lang w:val="en-US" w:eastAsia="zh-CN"/>
                <w14:textFill>
                  <w14:solidFill>
                    <w14:schemeClr w14:val="tx1"/>
                  </w14:solidFill>
                </w14:textFill>
              </w:rPr>
              <w:t>47</w:t>
            </w:r>
            <w:r>
              <w:rPr>
                <w:rFonts w:hint="default" w:ascii="Times New Roman" w:hAnsi="Times New Roman" w:cs="Times New Roman"/>
                <w:color w:val="000000" w:themeColor="text1"/>
                <w:sz w:val="24"/>
                <w:szCs w:val="24"/>
                <w14:textFill>
                  <w14:solidFill>
                    <w14:schemeClr w14:val="tx1"/>
                  </w14:solidFill>
                </w14:textFill>
              </w:rPr>
              <w:t>号）（附件2）；</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8"/>
                <w:lang w:val="en-US" w:eastAsia="zh-CN"/>
                <w14:textFill>
                  <w14:solidFill>
                    <w14:schemeClr w14:val="tx1"/>
                  </w14:solidFill>
                </w14:textFill>
              </w:rPr>
              <w:t>广东准星检测有限公司现场验收检测报告1</w:t>
            </w:r>
            <w:r>
              <w:rPr>
                <w:rFonts w:hint="default" w:ascii="Times New Roman" w:hAnsi="Times New Roman" w:cs="Times New Roman"/>
                <w:color w:val="000000" w:themeColor="text1"/>
                <w:sz w:val="24"/>
                <w:szCs w:val="24"/>
                <w14:textFill>
                  <w14:solidFill>
                    <w14:schemeClr w14:val="tx1"/>
                  </w14:solidFill>
                </w14:textFill>
              </w:rPr>
              <w:t>（附件3）；</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8"/>
                <w:lang w:val="en-US" w:eastAsia="zh-CN"/>
                <w14:textFill>
                  <w14:solidFill>
                    <w14:schemeClr w14:val="tx1"/>
                  </w14:solidFill>
                </w14:textFill>
              </w:rPr>
              <w:t>广东准星检测有限公司现场验收检测报告2</w:t>
            </w:r>
            <w:r>
              <w:rPr>
                <w:rFonts w:hint="default" w:ascii="Times New Roman" w:hAnsi="Times New Roman" w:cs="Times New Roman"/>
                <w:color w:val="000000" w:themeColor="text1"/>
                <w:sz w:val="24"/>
                <w:szCs w:val="24"/>
                <w14:textFill>
                  <w14:solidFill>
                    <w14:schemeClr w14:val="tx1"/>
                  </w14:solidFill>
                </w14:textFill>
              </w:rPr>
              <w:t>（附件4）。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7" w:hRule="atLeast"/>
          <w:jc w:val="center"/>
        </w:trPr>
        <w:tc>
          <w:tcPr>
            <w:tcW w:w="1498" w:type="dxa"/>
            <w:noWrap w:val="0"/>
            <w:vAlign w:val="center"/>
          </w:tcPr>
          <w:p>
            <w:pPr>
              <w:snapToGrid w:val="0"/>
              <w:spacing w:line="30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验收监测评价标准、标号、级别、限值</w:t>
            </w:r>
          </w:p>
        </w:tc>
        <w:tc>
          <w:tcPr>
            <w:tcW w:w="8300" w:type="dxa"/>
            <w:gridSpan w:val="5"/>
            <w:noWrap w:val="0"/>
            <w:vAlign w:val="center"/>
          </w:tcPr>
          <w:p>
            <w:pPr>
              <w:numPr>
                <w:ilvl w:val="0"/>
                <w:numId w:val="2"/>
              </w:numPr>
              <w:spacing w:line="480" w:lineRule="exac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废水：</w:t>
            </w:r>
          </w:p>
          <w:p>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生活污水经三级化粪池</w:t>
            </w:r>
            <w:r>
              <w:rPr>
                <w:rFonts w:hint="default" w:ascii="Times New Roman" w:hAnsi="Times New Roman" w:cs="Times New Roman"/>
                <w:color w:val="000000" w:themeColor="text1"/>
                <w:sz w:val="24"/>
                <w14:textFill>
                  <w14:solidFill>
                    <w14:schemeClr w14:val="tx1"/>
                  </w14:solidFill>
                </w14:textFill>
              </w:rPr>
              <w:t>处理达到农灌标准后用于场区绿化、附近林灌，执行国家标准《农田灌溉水质标准》（GB5084-2005）</w:t>
            </w:r>
            <w:r>
              <w:rPr>
                <w:rFonts w:hint="eastAsia" w:ascii="Times New Roman" w:hAnsi="Times New Roman" w:cs="Times New Roman"/>
                <w:color w:val="000000" w:themeColor="text1"/>
                <w:sz w:val="24"/>
                <w:lang w:val="en-US" w:eastAsia="zh-CN"/>
                <w14:textFill>
                  <w14:solidFill>
                    <w14:schemeClr w14:val="tx1"/>
                  </w14:solidFill>
                </w14:textFill>
              </w:rPr>
              <w:t>表1</w:t>
            </w:r>
            <w:r>
              <w:rPr>
                <w:rFonts w:hint="default" w:ascii="Times New Roman" w:hAnsi="Times New Roman" w:cs="Times New Roman"/>
                <w:color w:val="000000" w:themeColor="text1"/>
                <w:sz w:val="24"/>
                <w14:textFill>
                  <w14:solidFill>
                    <w14:schemeClr w14:val="tx1"/>
                  </w14:solidFill>
                </w14:textFill>
              </w:rPr>
              <w:t>中旱作</w:t>
            </w:r>
            <w:r>
              <w:rPr>
                <w:rFonts w:hint="eastAsia" w:ascii="Times New Roman" w:hAnsi="Times New Roman" w:cs="Times New Roman"/>
                <w:color w:val="000000" w:themeColor="text1"/>
                <w:sz w:val="24"/>
                <w:lang w:val="en-US" w:eastAsia="zh-CN"/>
                <w14:textFill>
                  <w14:solidFill>
                    <w14:schemeClr w14:val="tx1"/>
                  </w14:solidFill>
                </w14:textFill>
              </w:rPr>
              <w:t>物</w:t>
            </w:r>
            <w:r>
              <w:rPr>
                <w:rFonts w:hint="default" w:ascii="Times New Roman" w:hAnsi="Times New Roman" w:cs="Times New Roman"/>
                <w:color w:val="000000" w:themeColor="text1"/>
                <w:sz w:val="24"/>
                <w14:textFill>
                  <w14:solidFill>
                    <w14:schemeClr w14:val="tx1"/>
                  </w14:solidFill>
                </w14:textFill>
              </w:rPr>
              <w:t>标准。</w:t>
            </w:r>
          </w:p>
          <w:p>
            <w:pPr>
              <w:snapToGrid w:val="0"/>
              <w:spacing w:line="480" w:lineRule="exact"/>
              <w:ind w:right="7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表1-1  水污染物排放浓度   单位：</w:t>
            </w:r>
            <w:r>
              <w:rPr>
                <w:rFonts w:hint="default" w:ascii="Times New Roman" w:hAnsi="Times New Roman" w:cs="Times New Roman"/>
                <w:b/>
                <w:bCs/>
                <w:color w:val="000000" w:themeColor="text1"/>
                <w:szCs w:val="21"/>
                <w14:textFill>
                  <w14:solidFill>
                    <w14:schemeClr w14:val="tx1"/>
                  </w14:solidFill>
                </w14:textFill>
              </w:rPr>
              <w:t>mg/L（pH</w:t>
            </w:r>
            <w:r>
              <w:rPr>
                <w:rFonts w:hint="default" w:ascii="Times New Roman" w:hAnsi="Times New Roman" w:cs="Times New Roman"/>
                <w:b/>
                <w:color w:val="000000" w:themeColor="text1"/>
                <w:szCs w:val="21"/>
                <w14:textFill>
                  <w14:solidFill>
                    <w14:schemeClr w14:val="tx1"/>
                  </w14:solidFill>
                </w14:textFill>
              </w:rPr>
              <w:t>值除外）</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4"/>
              <w:gridCol w:w="945"/>
              <w:gridCol w:w="1215"/>
              <w:gridCol w:w="1095"/>
              <w:gridCol w:w="780"/>
              <w:gridCol w:w="660"/>
              <w:gridCol w:w="15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1884"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标准名称</w:t>
                  </w:r>
                </w:p>
              </w:tc>
              <w:tc>
                <w:tcPr>
                  <w:tcW w:w="945"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1215"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CODcr</w:t>
                  </w:r>
                </w:p>
              </w:tc>
              <w:tc>
                <w:tcPr>
                  <w:tcW w:w="1095"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78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SS</w:t>
                  </w:r>
                </w:p>
              </w:tc>
              <w:tc>
                <w:tcPr>
                  <w:tcW w:w="66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总磷</w:t>
                  </w:r>
                </w:p>
              </w:tc>
              <w:tc>
                <w:tcPr>
                  <w:tcW w:w="1581"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粪大肠菌群数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48" w:hRule="atLeast"/>
                <w:jc w:val="center"/>
              </w:trPr>
              <w:tc>
                <w:tcPr>
                  <w:tcW w:w="1884"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szCs w:val="21"/>
                      <w:lang w:val="zh-CN"/>
                      <w14:textFill>
                        <w14:solidFill>
                          <w14:schemeClr w14:val="tx1"/>
                        </w14:solidFill>
                      </w14:textFill>
                    </w:rPr>
                    <w:t>（</w:t>
                  </w:r>
                  <w:r>
                    <w:rPr>
                      <w:rFonts w:hint="default" w:ascii="Times New Roman" w:hAnsi="Times New Roman" w:eastAsia="方正兰亭超细黑简体" w:cs="Times New Roman"/>
                      <w:snapToGrid w:val="0"/>
                      <w:color w:val="000000" w:themeColor="text1"/>
                      <w:szCs w:val="21"/>
                      <w:lang w:val="zh-CN"/>
                      <w14:textFill>
                        <w14:solidFill>
                          <w14:schemeClr w14:val="tx1"/>
                        </w14:solidFill>
                      </w14:textFill>
                    </w:rPr>
                    <w:t>GB5084-2005</w:t>
                  </w:r>
                  <w:r>
                    <w:rPr>
                      <w:rFonts w:hint="default" w:ascii="Times New Roman" w:hAnsi="Times New Roman" w:cs="Times New Roman"/>
                      <w:snapToGrid w:val="0"/>
                      <w:color w:val="000000" w:themeColor="text1"/>
                      <w:szCs w:val="21"/>
                      <w:lang w:val="zh-CN"/>
                      <w14:textFill>
                        <w14:solidFill>
                          <w14:schemeClr w14:val="tx1"/>
                        </w14:solidFill>
                      </w14:textFill>
                    </w:rPr>
                    <w:t>）旱作标准</w:t>
                  </w:r>
                </w:p>
              </w:tc>
              <w:tc>
                <w:tcPr>
                  <w:tcW w:w="945"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5.5-8.5</w:t>
                  </w:r>
                </w:p>
              </w:tc>
              <w:tc>
                <w:tcPr>
                  <w:tcW w:w="1215"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1095"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78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66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581" w:type="dxa"/>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≤4000个/L</w:t>
                  </w:r>
                </w:p>
              </w:tc>
            </w:tr>
          </w:tbl>
          <w:p>
            <w:pPr>
              <w:numPr>
                <w:ilvl w:val="0"/>
                <w:numId w:val="2"/>
              </w:numPr>
              <w:spacing w:line="440" w:lineRule="exac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噪声：</w:t>
            </w:r>
          </w:p>
          <w:p>
            <w:pPr>
              <w:spacing w:line="440" w:lineRule="exact"/>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执行《工业企业厂界环境噪声排放标准》(GB12348-2008)2类标准，即昼间≤60dB（A），夜间≤50dB（A）。</w:t>
            </w:r>
          </w:p>
          <w:p>
            <w:pPr>
              <w:numPr>
                <w:ilvl w:val="0"/>
                <w:numId w:val="3"/>
              </w:numPr>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废气：</w:t>
            </w:r>
          </w:p>
          <w:p>
            <w:pPr>
              <w:widowControl w:val="0"/>
              <w:tabs>
                <w:tab w:val="left" w:pos="960"/>
              </w:tabs>
              <w:topLinePunct/>
              <w:adjustRightInd w:val="0"/>
              <w:snapToGrid w:val="0"/>
              <w:spacing w:line="360" w:lineRule="auto"/>
              <w:ind w:firstLine="48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项目切割粉尘、喷粉粉尘执行广东省地方标准《大气污染物排放限值》（DB44/27-2001）第二时段无组织排放浓度监控限值，固化过程产生的VOCs经UV光解装置处理后</w:t>
            </w:r>
            <w:r>
              <w:rPr>
                <w:rFonts w:hint="eastAsia" w:ascii="Times New Roman" w:hAnsi="Times New Roman" w:cs="Times New Roman"/>
                <w:color w:val="000000" w:themeColor="text1"/>
                <w:kern w:val="2"/>
                <w:sz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米高排气筒排放，执行《家具制造行业挥发性有机化合物排放标准》（DB44/814-2010）第Ⅱ时段限值，</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，具体标准限值见表1-2。</w:t>
            </w:r>
          </w:p>
          <w:p>
            <w:pPr>
              <w:widowControl w:val="0"/>
              <w:tabs>
                <w:tab w:val="left" w:pos="960"/>
              </w:tabs>
              <w:topLinePunct/>
              <w:adjustRightInd w:val="0"/>
              <w:snapToGrid w:val="0"/>
              <w:spacing w:line="360" w:lineRule="auto"/>
              <w:ind w:firstLine="0"/>
              <w:jc w:val="center"/>
              <w:rPr>
                <w:rFonts w:hint="default" w:ascii="Times New Roman" w:hAnsi="Times New Roman" w:eastAsia="宋体" w:cs="Times New Roman"/>
                <w:b/>
                <w:color w:val="000000" w:themeColor="text1"/>
                <w:kern w:val="2"/>
                <w:sz w:val="21"/>
                <w:szCs w:val="21"/>
                <w:vertAlign w:val="superscript"/>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0"/>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表1-2  大气污染物排放标准       单位：mg/m</w:t>
            </w:r>
            <w:r>
              <w:rPr>
                <w:rFonts w:hint="default" w:ascii="Times New Roman" w:hAnsi="Times New Roman" w:eastAsia="宋体" w:cs="Times New Roman"/>
                <w:b/>
                <w:color w:val="000000" w:themeColor="text1"/>
                <w:kern w:val="2"/>
                <w:sz w:val="21"/>
                <w:szCs w:val="21"/>
                <w:vertAlign w:val="superscript"/>
                <w:lang w:val="en-US" w:eastAsia="zh-CN" w:bidi="ar-SA"/>
                <w14:textFill>
                  <w14:solidFill>
                    <w14:schemeClr w14:val="tx1"/>
                  </w14:solidFill>
                </w14:textFill>
              </w:rPr>
              <w:t>3</w:t>
            </w:r>
          </w:p>
          <w:tbl>
            <w:tblPr>
              <w:tblStyle w:val="12"/>
              <w:tblW w:w="827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07"/>
              <w:gridCol w:w="1308"/>
              <w:gridCol w:w="1333"/>
              <w:gridCol w:w="1255"/>
              <w:gridCol w:w="782"/>
              <w:gridCol w:w="14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7"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标准类别</w:t>
                  </w:r>
                </w:p>
              </w:tc>
              <w:tc>
                <w:tcPr>
                  <w:tcW w:w="1308"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w:t>
                  </w:r>
                </w:p>
              </w:tc>
              <w:tc>
                <w:tcPr>
                  <w:tcW w:w="1333"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最高允许排放浓度（mg/m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c>
                <w:tcPr>
                  <w:tcW w:w="2037" w:type="dxa"/>
                  <w:gridSpan w:val="2"/>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最高允许排放速率（kg/h）</w:t>
                  </w:r>
                </w:p>
              </w:tc>
              <w:tc>
                <w:tcPr>
                  <w:tcW w:w="1487"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周围界外浓度最高点监控浓度限值（mg/m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7"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p>
              </w:tc>
              <w:tc>
                <w:tcPr>
                  <w:tcW w:w="1308"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p>
              </w:tc>
              <w:tc>
                <w:tcPr>
                  <w:tcW w:w="1333"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p>
              </w:tc>
              <w:tc>
                <w:tcPr>
                  <w:tcW w:w="1255"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排气筒（m）</w:t>
                  </w:r>
                </w:p>
              </w:tc>
              <w:tc>
                <w:tcPr>
                  <w:tcW w:w="782"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二级</w:t>
                  </w:r>
                </w:p>
              </w:tc>
              <w:tc>
                <w:tcPr>
                  <w:tcW w:w="1487"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7"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(DB44/27-2001)</w:t>
                  </w:r>
                </w:p>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第二时段二级标准</w:t>
                  </w:r>
                </w:p>
              </w:tc>
              <w:tc>
                <w:tcPr>
                  <w:tcW w:w="1308"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1333"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w:t>
                  </w:r>
                </w:p>
              </w:tc>
              <w:tc>
                <w:tcPr>
                  <w:tcW w:w="1255"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82"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2.9</w:t>
                  </w:r>
                </w:p>
              </w:tc>
              <w:tc>
                <w:tcPr>
                  <w:tcW w:w="1487" w:type="dxa"/>
                  <w:tcBorders>
                    <w:tl2br w:val="nil"/>
                    <w:tr2bl w:val="nil"/>
                  </w:tcBorders>
                  <w:shd w:val="clear" w:color="auto" w:fill="auto"/>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2107"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（DB44/814-2010）第Ⅱ时段限值</w:t>
                  </w:r>
                </w:p>
              </w:tc>
              <w:tc>
                <w:tcPr>
                  <w:tcW w:w="1308"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VOCs</w:t>
                  </w:r>
                </w:p>
              </w:tc>
              <w:tc>
                <w:tcPr>
                  <w:tcW w:w="1333" w:type="dxa"/>
                  <w:vMerge w:val="restart"/>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1255"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82"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2.9</w:t>
                  </w:r>
                </w:p>
              </w:tc>
              <w:tc>
                <w:tcPr>
                  <w:tcW w:w="1487" w:type="dxa"/>
                  <w:vMerge w:val="restart"/>
                  <w:tcBorders>
                    <w:tl2br w:val="nil"/>
                    <w:tr2bl w:val="nil"/>
                  </w:tcBorders>
                  <w:shd w:val="clear" w:color="auto" w:fill="auto"/>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2107"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p>
              </w:tc>
              <w:tc>
                <w:tcPr>
                  <w:tcW w:w="1308"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 w:val="24"/>
                      <w14:textFill>
                        <w14:solidFill>
                          <w14:schemeClr w14:val="tx1"/>
                        </w14:solidFill>
                      </w14:textFill>
                    </w:rPr>
                  </w:pPr>
                </w:p>
              </w:tc>
              <w:tc>
                <w:tcPr>
                  <w:tcW w:w="1333" w:type="dxa"/>
                  <w:vMerge w:val="continue"/>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p>
              </w:tc>
              <w:tc>
                <w:tcPr>
                  <w:tcW w:w="1255" w:type="dxa"/>
                  <w:tcBorders>
                    <w:tl2br w:val="nil"/>
                    <w:tr2bl w:val="nil"/>
                  </w:tcBorders>
                  <w:vAlign w:val="center"/>
                </w:tcPr>
                <w:p>
                  <w:pPr>
                    <w:widowControl/>
                    <w:adjustRightInd w:val="0"/>
                    <w:snapToGrid w:val="0"/>
                    <w:spacing w:line="36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p>
              </w:tc>
              <w:tc>
                <w:tcPr>
                  <w:tcW w:w="782" w:type="dxa"/>
                  <w:tcBorders>
                    <w:tl2br w:val="nil"/>
                    <w:tr2bl w:val="nil"/>
                  </w:tcBorders>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1</w:t>
                  </w:r>
                </w:p>
              </w:tc>
              <w:tc>
                <w:tcPr>
                  <w:tcW w:w="1487" w:type="dxa"/>
                  <w:vMerge w:val="continue"/>
                  <w:tcBorders>
                    <w:tl2br w:val="nil"/>
                    <w:tr2bl w:val="nil"/>
                  </w:tcBorders>
                  <w:shd w:val="clear" w:color="auto" w:fill="auto"/>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p>
              </w:tc>
            </w:tr>
          </w:tbl>
          <w:p>
            <w:pPr>
              <w:spacing w:line="500" w:lineRule="exact"/>
              <w:ind w:left="0" w:leftChars="0" w:firstLine="400" w:firstLineChars="0"/>
              <w:rPr>
                <w:rFonts w:hint="default" w:ascii="Times New Roman" w:hAnsi="Times New Roman" w:cs="Times New Roman"/>
                <w:b/>
                <w:color w:val="000000" w:themeColor="text1"/>
                <w:sz w:val="20"/>
                <w:szCs w:val="15"/>
                <w14:textFill>
                  <w14:solidFill>
                    <w14:schemeClr w14:val="tx1"/>
                  </w14:solidFill>
                </w14:textFill>
              </w:rPr>
            </w:pPr>
            <w:r>
              <w:rPr>
                <w:rFonts w:hint="default" w:ascii="Times New Roman" w:hAnsi="Times New Roman" w:cs="Times New Roman"/>
                <w:b/>
                <w:color w:val="000000" w:themeColor="text1"/>
                <w:sz w:val="20"/>
                <w:szCs w:val="15"/>
                <w14:textFill>
                  <w14:solidFill>
                    <w14:schemeClr w14:val="tx1"/>
                  </w14:solidFill>
                </w14:textFill>
              </w:rPr>
              <w:t>注：排气筒高度不能达到要求的，排放速率按照标准限值外推法计算结果的50%执行</w:t>
            </w:r>
          </w:p>
          <w:p>
            <w:pPr>
              <w:pStyle w:val="2"/>
              <w:rPr>
                <w:rFonts w:hint="default" w:ascii="Times New Roman" w:hAnsi="Times New Roman" w:cs="Times New Roman"/>
                <w:color w:val="000000" w:themeColor="text1"/>
                <w14:textFill>
                  <w14:solidFill>
                    <w14:schemeClr w14:val="tx1"/>
                  </w14:solidFill>
                </w14:textFill>
              </w:rPr>
            </w:pPr>
          </w:p>
          <w:p>
            <w:pPr>
              <w:pStyle w:val="2"/>
              <w:ind w:left="0" w:leftChars="0" w:firstLine="0" w:firstLineChars="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一般固体废物执行《一般工业固体废物贮存、处置场污染控制标准》（GB18599-2001）标准及其2013修订单</w:t>
            </w:r>
            <w:r>
              <w:rPr>
                <w:rFonts w:hint="default" w:ascii="Times New Roman" w:hAnsi="Times New Roman" w:cs="Times New Roman"/>
                <w:color w:val="000000" w:themeColor="text1"/>
                <w:sz w:val="24"/>
                <w:lang w:eastAsia="zh-CN"/>
                <w14:textFill>
                  <w14:solidFill>
                    <w14:schemeClr w14:val="tx1"/>
                  </w14:solidFill>
                </w14:textFill>
              </w:rPr>
              <w:t>。</w:t>
            </w:r>
          </w:p>
          <w:p>
            <w:pPr>
              <w:snapToGrid w:val="0"/>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br w:type="textWrapping"/>
            </w:r>
            <w:r>
              <w:rPr>
                <w:rFonts w:hint="default" w:ascii="Times New Roman" w:hAnsi="Times New Roman" w:cs="Times New Roman"/>
                <w:color w:val="000000" w:themeColor="text1"/>
                <w:sz w:val="24"/>
                <w:szCs w:val="24"/>
                <w14:textFill>
                  <w14:solidFill>
                    <w14:schemeClr w14:val="tx1"/>
                  </w14:solidFill>
                </w14:textFill>
              </w:rPr>
              <w:br w:type="textWrapping"/>
            </w:r>
          </w:p>
        </w:tc>
      </w:tr>
    </w:tbl>
    <w:p>
      <w:pPr>
        <w:spacing w:line="276" w:lineRule="auto"/>
        <w:jc w:val="left"/>
        <w:outlineLvl w:val="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bookmarkStart w:id="2" w:name="_Toc26261"/>
      <w:bookmarkStart w:id="3" w:name="_Toc30036"/>
      <w:r>
        <w:rPr>
          <w:rFonts w:hint="default" w:ascii="Times New Roman" w:hAnsi="Times New Roman" w:cs="Times New Roman"/>
          <w:b/>
          <w:color w:val="000000" w:themeColor="text1"/>
          <w:sz w:val="28"/>
          <w:szCs w:val="28"/>
          <w14:textFill>
            <w14:solidFill>
              <w14:schemeClr w14:val="tx1"/>
            </w14:solidFill>
          </w14:textFill>
        </w:rPr>
        <w:t>表二  工程建设内容</w:t>
      </w:r>
      <w:bookmarkEnd w:id="2"/>
      <w:bookmarkEnd w:id="3"/>
    </w:p>
    <w:tbl>
      <w:tblPr>
        <w:tblStyle w:val="12"/>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4" w:type="dxa"/>
            <w:noWrap w:val="0"/>
            <w:vAlign w:val="top"/>
          </w:tcPr>
          <w:p>
            <w:pPr>
              <w:numPr>
                <w:ilvl w:val="0"/>
                <w:numId w:val="4"/>
              </w:num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项目概况</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位于</w:t>
            </w:r>
            <w:r>
              <w:rPr>
                <w:rFonts w:hint="default" w:ascii="Times New Roman" w:hAnsi="Times New Roman" w:cs="Times New Roman"/>
                <w:color w:val="000000" w:themeColor="text1"/>
                <w:sz w:val="24"/>
                <w:szCs w:val="24"/>
                <w:lang w:eastAsia="zh-CN"/>
                <w14:textFill>
                  <w14:solidFill>
                    <w14:schemeClr w14:val="tx1"/>
                  </w14:solidFill>
                </w14:textFill>
              </w:rPr>
              <w:t>梅州市梅江区三角镇梅州金三角旋窑水泥厂有限公司8号楼</w:t>
            </w:r>
            <w:r>
              <w:rPr>
                <w:rFonts w:hint="default" w:ascii="Times New Roman" w:hAnsi="Times New Roman" w:cs="Times New Roman"/>
                <w:color w:val="000000" w:themeColor="text1"/>
                <w:sz w:val="24"/>
                <w:szCs w:val="24"/>
                <w14:textFill>
                  <w14:solidFill>
                    <w14:schemeClr w14:val="tx1"/>
                  </w14:solidFill>
                </w14:textFill>
              </w:rPr>
              <w:t>，项目总投资为</w:t>
            </w:r>
            <w:r>
              <w:rPr>
                <w:rFonts w:hint="default" w:ascii="Times New Roman" w:hAnsi="Times New Roman"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14:textFill>
                  <w14:solidFill>
                    <w14:schemeClr w14:val="tx1"/>
                  </w14:solidFill>
                </w14:textFill>
              </w:rPr>
              <w:t>万元，其中环保投资</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万元，占总投资的</w:t>
            </w:r>
            <w:r>
              <w:rPr>
                <w:rFonts w:hint="default" w:ascii="Times New Roman" w:hAnsi="Times New Roman" w:cs="Times New Roman"/>
                <w:color w:val="000000" w:themeColor="text1"/>
                <w:sz w:val="24"/>
                <w:szCs w:val="24"/>
                <w:lang w:val="en-US" w:eastAsia="zh-CN"/>
                <w14:textFill>
                  <w14:solidFill>
                    <w14:schemeClr w14:val="tx1"/>
                  </w14:solidFill>
                </w14:textFill>
              </w:rPr>
              <w:t>40</w:t>
            </w:r>
            <w:r>
              <w:rPr>
                <w:rFonts w:hint="default" w:ascii="Times New Roman" w:hAnsi="Times New Roman" w:cs="Times New Roman"/>
                <w:color w:val="000000" w:themeColor="text1"/>
                <w:sz w:val="24"/>
                <w:szCs w:val="24"/>
                <w14:textFill>
                  <w14:solidFill>
                    <w14:schemeClr w14:val="tx1"/>
                  </w14:solidFill>
                </w14:textFill>
              </w:rPr>
              <w:t>%，项目设计</w:t>
            </w:r>
            <w:r>
              <w:rPr>
                <w:rFonts w:hint="default" w:ascii="Times New Roman" w:hAnsi="Times New Roman" w:cs="Times New Roman"/>
                <w:color w:val="000000" w:themeColor="text1"/>
                <w:sz w:val="24"/>
                <w:szCs w:val="24"/>
                <w:lang w:eastAsia="zh-CN"/>
                <w14:textFill>
                  <w14:solidFill>
                    <w14:schemeClr w14:val="tx1"/>
                  </w14:solidFill>
                </w14:textFill>
              </w:rPr>
              <w:t>年产楼梯扶手14吨</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占地面积</w:t>
            </w:r>
            <w:r>
              <w:rPr>
                <w:rFonts w:hint="default" w:ascii="Times New Roman" w:hAnsi="Times New Roman" w:cs="Times New Roman"/>
                <w:color w:val="000000" w:themeColor="text1"/>
                <w:sz w:val="24"/>
                <w:lang w:val="en-US" w:eastAsia="zh-CN"/>
                <w14:textFill>
                  <w14:solidFill>
                    <w14:schemeClr w14:val="tx1"/>
                  </w14:solidFill>
                </w14:textFill>
              </w:rPr>
              <w:t>398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，总建筑面积约为</w:t>
            </w:r>
            <w:r>
              <w:rPr>
                <w:rFonts w:hint="default" w:ascii="Times New Roman" w:hAnsi="Times New Roman" w:cs="Times New Roman"/>
                <w:color w:val="000000" w:themeColor="text1"/>
                <w:sz w:val="24"/>
                <w:lang w:val="en-US" w:eastAsia="zh-CN"/>
                <w14:textFill>
                  <w14:solidFill>
                    <w14:schemeClr w14:val="tx1"/>
                  </w14:solidFill>
                </w14:textFill>
              </w:rPr>
              <w:t>398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。厂区内包括</w:t>
            </w:r>
            <w:r>
              <w:rPr>
                <w:rFonts w:hint="default" w:ascii="Times New Roman" w:hAnsi="Times New Roman" w:cs="Times New Roman"/>
                <w:color w:val="000000" w:themeColor="text1"/>
                <w:sz w:val="24"/>
                <w:lang w:val="en-US" w:eastAsia="zh-CN"/>
                <w14:textFill>
                  <w14:solidFill>
                    <w14:schemeClr w14:val="tx1"/>
                  </w14:solidFill>
                </w14:textFill>
              </w:rPr>
              <w:t>切割</w:t>
            </w:r>
            <w:r>
              <w:rPr>
                <w:rFonts w:hint="default" w:ascii="Times New Roman" w:hAnsi="Times New Roman" w:cs="Times New Roman"/>
                <w:color w:val="000000" w:themeColor="text1"/>
                <w:sz w:val="24"/>
                <w14:textFill>
                  <w14:solidFill>
                    <w14:schemeClr w14:val="tx1"/>
                  </w14:solidFill>
                </w14:textFill>
              </w:rPr>
              <w:t>区</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烘干区、喷粉房、成品和原料堆放区</w:t>
            </w:r>
            <w:r>
              <w:rPr>
                <w:rFonts w:hint="default" w:ascii="Times New Roman" w:hAnsi="Times New Roman" w:cs="Times New Roman"/>
                <w:color w:val="000000" w:themeColor="text1"/>
                <w:sz w:val="24"/>
                <w14:textFill>
                  <w14:solidFill>
                    <w14:schemeClr w14:val="tx1"/>
                  </w14:solidFill>
                </w14:textFill>
              </w:rPr>
              <w:t>等</w:t>
            </w:r>
            <w:r>
              <w:rPr>
                <w:rFonts w:hint="default" w:ascii="Times New Roman" w:hAnsi="Times New Roman" w:cs="Times New Roman"/>
                <w:color w:val="000000" w:themeColor="text1"/>
                <w:sz w:val="24"/>
                <w:szCs w:val="24"/>
                <w14:textFill>
                  <w14:solidFill>
                    <w14:schemeClr w14:val="tx1"/>
                  </w14:solidFill>
                </w14:textFill>
              </w:rPr>
              <w:t>，项目建设内容组成一览表见下表：</w:t>
            </w:r>
          </w:p>
          <w:p>
            <w:pPr>
              <w:widowControl w:val="0"/>
              <w:spacing w:before="0" w:line="360" w:lineRule="auto"/>
              <w:ind w:firstLine="0" w:firstLineChars="0"/>
              <w:jc w:val="center"/>
              <w:rPr>
                <w:rFonts w:hint="default" w:ascii="Times New Roman" w:hAnsi="Times New Roman" w:eastAsia="宋体" w:cs="Times New Roman"/>
                <w:b/>
                <w:color w:val="000000" w:themeColor="text1"/>
                <w:kern w:val="2"/>
                <w:sz w:val="21"/>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18"/>
                <w:lang w:val="en-US" w:eastAsia="zh-CN" w:bidi="ar-SA"/>
                <w14:textFill>
                  <w14:solidFill>
                    <w14:schemeClr w14:val="tx1"/>
                  </w14:solidFill>
                </w14:textFill>
              </w:rPr>
              <w:t>表2-1   项目建设内容组成一览表</w:t>
            </w:r>
          </w:p>
          <w:tbl>
            <w:tblPr>
              <w:tblStyle w:val="1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374"/>
              <w:gridCol w:w="1639"/>
              <w:gridCol w:w="4845"/>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842" w:type="dxa"/>
                  <w:gridSpan w:val="3"/>
                  <w:tcBorders>
                    <w:tl2br w:val="nil"/>
                    <w:tr2bl w:val="nil"/>
                  </w:tcBorders>
                  <w:vAlign w:val="center"/>
                </w:tcPr>
                <w:p>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4845" w:type="dxa"/>
                  <w:tcBorders>
                    <w:tl2br w:val="nil"/>
                    <w:tr2bl w:val="nil"/>
                  </w:tcBorders>
                  <w:vAlign w:val="center"/>
                </w:tcPr>
                <w:p>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具体情况</w:t>
                  </w:r>
                </w:p>
              </w:tc>
              <w:tc>
                <w:tcPr>
                  <w:tcW w:w="1384" w:type="dxa"/>
                  <w:tcBorders>
                    <w:tl2br w:val="nil"/>
                    <w:tr2bl w:val="nil"/>
                  </w:tcBorders>
                  <w:vAlign w:val="center"/>
                </w:tcPr>
                <w:p>
                  <w:pPr>
                    <w:adjustRightInd w:val="0"/>
                    <w:snapToGrid w:val="0"/>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是否与环评及批复一致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29"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主体工程</w:t>
                  </w: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切割区</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用于原料</w:t>
                  </w:r>
                  <w:r>
                    <w:rPr>
                      <w:rFonts w:hint="default" w:ascii="Times New Roman" w:hAnsi="Times New Roman" w:cs="Times New Roman"/>
                      <w:color w:val="000000" w:themeColor="text1"/>
                      <w:kern w:val="0"/>
                      <w:szCs w:val="21"/>
                      <w14:textFill>
                        <w14:solidFill>
                          <w14:schemeClr w14:val="tx1"/>
                        </w14:solidFill>
                      </w14:textFill>
                    </w:rPr>
                    <w:t>切割</w:t>
                  </w:r>
                  <w:r>
                    <w:rPr>
                      <w:rFonts w:hint="default" w:ascii="Times New Roman" w:hAnsi="Times New Roman" w:cs="Times New Roman"/>
                      <w:color w:val="000000" w:themeColor="text1"/>
                      <w:szCs w:val="21"/>
                      <w14:textFill>
                        <w14:solidFill>
                          <w14:schemeClr w14:val="tx1"/>
                        </w14:solidFill>
                      </w14:textFill>
                    </w:rPr>
                    <w:t>，建筑面积为50m</w:t>
                  </w:r>
                  <w:r>
                    <w:rPr>
                      <w:rFonts w:hint="default" w:ascii="Times New Roman" w:hAnsi="Times New Roman" w:cs="Times New Roman"/>
                      <w:color w:val="000000" w:themeColor="text1"/>
                      <w:szCs w:val="21"/>
                      <w:vertAlign w:val="superscript"/>
                      <w14:textFill>
                        <w14:solidFill>
                          <w14:schemeClr w14:val="tx1"/>
                        </w14:solidFill>
                      </w14:textFill>
                    </w:rPr>
                    <w:t>2</w:t>
                  </w:r>
                </w:p>
              </w:tc>
              <w:tc>
                <w:tcPr>
                  <w:tcW w:w="1384"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烘干区</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用于喷粉后固化，建筑面积为50m</w:t>
                  </w:r>
                  <w:r>
                    <w:rPr>
                      <w:rFonts w:hint="default" w:ascii="Times New Roman" w:hAnsi="Times New Roman" w:cs="Times New Roman"/>
                      <w:color w:val="000000" w:themeColor="text1"/>
                      <w:szCs w:val="21"/>
                      <w:vertAlign w:val="superscript"/>
                      <w14:textFill>
                        <w14:solidFill>
                          <w14:schemeClr w14:val="tx1"/>
                        </w14:solidFill>
                      </w14:textFill>
                    </w:rPr>
                    <w:t>2</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喷粉房</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用于喷粉，建筑面积为100m</w:t>
                  </w:r>
                  <w:r>
                    <w:rPr>
                      <w:rFonts w:hint="default" w:ascii="Times New Roman" w:hAnsi="Times New Roman" w:cs="Times New Roman"/>
                      <w:color w:val="000000" w:themeColor="text1"/>
                      <w:szCs w:val="21"/>
                      <w:vertAlign w:val="superscript"/>
                      <w14:textFill>
                        <w14:solidFill>
                          <w14:schemeClr w14:val="tx1"/>
                        </w14:solidFill>
                      </w14:textFill>
                    </w:rPr>
                    <w:t>2</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9"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辅助工程</w:t>
                  </w: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成品和原料堆放区</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用于成品和原料堆放，建筑面积约为198m</w:t>
                  </w:r>
                  <w:r>
                    <w:rPr>
                      <w:rFonts w:hint="default" w:ascii="Times New Roman" w:hAnsi="Times New Roman" w:cs="Times New Roman"/>
                      <w:color w:val="000000" w:themeColor="text1"/>
                      <w:szCs w:val="21"/>
                      <w:vertAlign w:val="superscript"/>
                      <w14:textFill>
                        <w14:solidFill>
                          <w14:schemeClr w14:val="tx1"/>
                        </w14:solidFill>
                      </w14:textFill>
                    </w:rPr>
                    <w:t>2</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9"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公用工程</w:t>
                  </w: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给水</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用水由市政管网提供</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生活污水经化粪池处理后用于林地灌溉</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配电</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由市政电网供应</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29"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环保工程</w:t>
                  </w:r>
                </w:p>
              </w:tc>
              <w:tc>
                <w:tcPr>
                  <w:tcW w:w="37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w:t>
                  </w:r>
                </w:p>
              </w:tc>
              <w:tc>
                <w:tcPr>
                  <w:tcW w:w="1639"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生活废水</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经三级化粪池处理后用于林灌</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4"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1639"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切割粉尘</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自然沉降至车间地面收集处理</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639"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喷粉粉尘</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过滤除尘器处理后无组织排放，加强室内通风</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639"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固化废气</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UV光解装置+</w:t>
                  </w:r>
                  <w:r>
                    <w:rPr>
                      <w:rFonts w:hint="eastAsia" w:ascii="Times New Roman" w:hAnsi="Times New Roman" w:cs="Times New Roman"/>
                      <w:color w:val="000000" w:themeColor="text1"/>
                      <w:lang w:eastAsia="zh-CN"/>
                      <w14:textFill>
                        <w14:solidFill>
                          <w14:schemeClr w14:val="tx1"/>
                        </w14:solidFill>
                      </w14:textFill>
                    </w:rPr>
                    <w:t>7m高</w:t>
                  </w:r>
                  <w:r>
                    <w:rPr>
                      <w:rFonts w:hint="default" w:ascii="Times New Roman" w:hAnsi="Times New Roman" w:cs="Times New Roman"/>
                      <w:color w:val="000000" w:themeColor="text1"/>
                      <w14:textFill>
                        <w14:solidFill>
                          <w14:schemeClr w14:val="tx1"/>
                        </w14:solidFill>
                      </w14:textFill>
                    </w:rPr>
                    <w:t>排气筒排放</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4" w:type="dxa"/>
                  <w:vMerge w:val="restart"/>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w:t>
                  </w:r>
                </w:p>
              </w:tc>
              <w:tc>
                <w:tcPr>
                  <w:tcW w:w="1639" w:type="dxa"/>
                  <w:tcBorders>
                    <w:tl2br w:val="nil"/>
                    <w:tr2bl w:val="nil"/>
                  </w:tcBorders>
                  <w:vAlign w:val="center"/>
                </w:tcPr>
                <w:p>
                  <w:pPr>
                    <w:pStyle w:val="6"/>
                    <w:adjustRightInd w:val="0"/>
                    <w:snapToGrid w:val="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生活垃圾</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由环卫部门清运</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639" w:type="dxa"/>
                  <w:tcBorders>
                    <w:tl2br w:val="nil"/>
                    <w:tr2bl w:val="nil"/>
                  </w:tcBorders>
                  <w:vAlign w:val="center"/>
                </w:tcPr>
                <w:p>
                  <w:pPr>
                    <w:pStyle w:val="6"/>
                    <w:adjustRightInd w:val="0"/>
                    <w:snapToGrid w:val="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除尘器收集的粉尘</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返回生产工序中重新利用</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374"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639" w:type="dxa"/>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边角废料</w:t>
                  </w:r>
                </w:p>
              </w:tc>
              <w:tc>
                <w:tcPr>
                  <w:tcW w:w="4845" w:type="dxa"/>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收集后外卖给收购商综合利用</w:t>
                  </w:r>
                </w:p>
              </w:tc>
              <w:tc>
                <w:tcPr>
                  <w:tcW w:w="1384" w:type="dxa"/>
                  <w:tcBorders>
                    <w:tl2br w:val="nil"/>
                    <w:tr2bl w:val="nil"/>
                  </w:tcBorders>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29" w:type="dxa"/>
                  <w:vMerge w:val="continue"/>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13" w:type="dxa"/>
                  <w:gridSpan w:val="2"/>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4845"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选择低噪声、减震先进设备</w:t>
                  </w:r>
                </w:p>
              </w:tc>
              <w:tc>
                <w:tcPr>
                  <w:tcW w:w="1384" w:type="dxa"/>
                  <w:tcBorders>
                    <w:tl2br w:val="nil"/>
                    <w:tr2bl w:val="nil"/>
                  </w:tcBorders>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是</w:t>
                  </w:r>
                </w:p>
              </w:tc>
            </w:tr>
          </w:tbl>
          <w:p>
            <w:pPr>
              <w:widowControl w:val="0"/>
              <w:spacing w:before="0" w:line="360" w:lineRule="auto"/>
              <w:ind w:firstLine="480" w:firstLineChars="200"/>
              <w:jc w:val="left"/>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该项目在运营期间会对环境产生一定的影响，根据《中华人民共和国环境保护法》（2015年1月1日起施行）、《中华人民共和国环境影响评价法》（2016年9月1日起施行）、《国务院关于修改〈建设项目环境保护管理条例〉的决定》（中华人民共和国国务院令第682号，自2017年10月1日起施行）、《建设项目环境保护分类管理名录》（2017年9月1日起施行）等相关法律法规的有关要求，该建设单位委托</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江苏新清源环保有限公司</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编制了《梅州市佳顺发实业有限公司楼梯扶手生产项目环境影响报告表》，并于2019年5月5日通过了梅州市梅江区环境保护局</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的环评审批（梅区环建函[2019]047号）。</w:t>
            </w:r>
          </w:p>
          <w:p>
            <w:pPr>
              <w:widowControl w:val="0"/>
              <w:spacing w:before="0" w:line="360" w:lineRule="auto"/>
              <w:ind w:firstLine="480" w:firstLineChars="200"/>
              <w:jc w:val="left"/>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该项目于2019年6月投入生产，目前运行情况良好。根据收集资料显示，该项目主体工程调试工况稳定，达到了建设项目竣工环境保护验收监测的工况要求。根据《国务院关于修改&lt;建设项目环境保护管理条例&gt;的决定》（国务院令第682号）、环保部《关于发布&lt;建设项目竣工环境保护验收暂行办法&gt;的公告》（国环规环评[2017]4号）以及《关于转发环境保护部&lt;建设项目竣工环境保护验收暂行办法&gt;的函》（粤环函〔2017〕1945号），梅州市佳顺发实业有限公司于201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月委托</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梅州森淼环保科技有限公司</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进行本项目的环境保护验收监测报告编制工作。</w:t>
            </w:r>
          </w:p>
          <w:p>
            <w:pPr>
              <w:widowControl w:val="0"/>
              <w:spacing w:before="0" w:line="360" w:lineRule="auto"/>
              <w:ind w:firstLine="0" w:firstLineChars="0"/>
              <w:jc w:val="both"/>
              <w:rPr>
                <w:rFonts w:hint="default" w:ascii="Times New Roman" w:hAnsi="Times New Roman" w:eastAsia="宋体" w:cs="Times New Roman"/>
                <w:b/>
                <w:bCs/>
                <w:color w:val="000000" w:themeColor="text1"/>
                <w:kern w:val="2"/>
                <w:sz w:val="28"/>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1"/>
                <w:lang w:val="en-US" w:eastAsia="zh-CN" w:bidi="ar-SA"/>
                <w14:textFill>
                  <w14:solidFill>
                    <w14:schemeClr w14:val="tx1"/>
                  </w14:solidFill>
                </w14:textFill>
              </w:rPr>
              <w:t>2、项目的建设规模</w:t>
            </w:r>
          </w:p>
          <w:p>
            <w:pPr>
              <w:adjustRightInd w:val="0"/>
              <w:snapToGrid w:val="0"/>
              <w:spacing w:line="360" w:lineRule="auto"/>
              <w:ind w:firstLine="480"/>
              <w:rPr>
                <w:rFonts w:hint="default" w:ascii="Times New Roman" w:hAnsi="Times New Roman" w:cs="Times New Roman"/>
                <w:b/>
                <w:bCs/>
                <w:color w:val="000000" w:themeColor="text1"/>
                <w:sz w:val="28"/>
                <w:szCs w:val="21"/>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w:t>
            </w:r>
            <w:r>
              <w:rPr>
                <w:rFonts w:hint="default" w:ascii="Times New Roman" w:hAnsi="Times New Roman" w:cs="Times New Roman"/>
                <w:color w:val="000000" w:themeColor="text1"/>
                <w:sz w:val="24"/>
                <w:szCs w:val="24"/>
                <w14:textFill>
                  <w14:solidFill>
                    <w14:schemeClr w14:val="tx1"/>
                  </w14:solidFill>
                </w14:textFill>
              </w:rPr>
              <w:t>投资建设的</w:t>
            </w: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主要生产和销售</w:t>
            </w:r>
            <w:r>
              <w:rPr>
                <w:rFonts w:hint="default" w:ascii="Times New Roman" w:hAnsi="Times New Roman" w:cs="Times New Roman"/>
                <w:color w:val="000000" w:themeColor="text1"/>
                <w:sz w:val="24"/>
                <w:szCs w:val="24"/>
                <w:lang w:eastAsia="zh-CN"/>
                <w14:textFill>
                  <w14:solidFill>
                    <w14:schemeClr w14:val="tx1"/>
                  </w14:solidFill>
                </w14:textFill>
              </w:rPr>
              <w:t>楼梯扶手</w:t>
            </w:r>
            <w:r>
              <w:rPr>
                <w:rFonts w:hint="default" w:ascii="Times New Roman" w:hAnsi="Times New Roman"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eastAsia="zh-CN"/>
                <w14:textFill>
                  <w14:solidFill>
                    <w14:schemeClr w14:val="tx1"/>
                  </w14:solidFill>
                </w14:textFill>
              </w:rPr>
              <w:t>年产楼梯扶手14吨</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3、项目主要生产设备</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项目主要生产设备详见表2-2：</w:t>
            </w:r>
          </w:p>
          <w:p>
            <w:pPr>
              <w:spacing w:line="360" w:lineRule="auto"/>
              <w:jc w:val="center"/>
              <w:rPr>
                <w:rFonts w:hint="default" w:ascii="Times New Roman" w:hAnsi="Times New Roman" w:cs="Times New Roman"/>
                <w:b/>
                <w:color w:val="000000" w:themeColor="text1"/>
                <w:spacing w:val="-8"/>
                <w:kern w:val="0"/>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表2-2  本项目</w:t>
            </w:r>
            <w:r>
              <w:rPr>
                <w:rFonts w:hint="default" w:ascii="Times New Roman" w:hAnsi="Times New Roman" w:cs="Times New Roman"/>
                <w:b/>
                <w:color w:val="000000" w:themeColor="text1"/>
                <w:spacing w:val="-8"/>
                <w:kern w:val="0"/>
                <w:szCs w:val="21"/>
                <w14:textFill>
                  <w14:solidFill>
                    <w14:schemeClr w14:val="tx1"/>
                  </w14:solidFill>
                </w14:textFill>
              </w:rPr>
              <w:t>主要设备表</w:t>
            </w:r>
          </w:p>
          <w:tbl>
            <w:tblPr>
              <w:tblStyle w:val="1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481"/>
              <w:gridCol w:w="1550"/>
              <w:gridCol w:w="1810"/>
              <w:gridCol w:w="1693"/>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序号</w:t>
                  </w:r>
                </w:p>
              </w:tc>
              <w:tc>
                <w:tcPr>
                  <w:tcW w:w="1797"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设备名称</w:t>
                  </w:r>
                </w:p>
              </w:tc>
              <w:tc>
                <w:tcPr>
                  <w:tcW w:w="1884"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数量（单位）</w:t>
                  </w:r>
                </w:p>
              </w:tc>
              <w:tc>
                <w:tcPr>
                  <w:tcW w:w="2209" w:type="dxa"/>
                  <w:tcBorders>
                    <w:tl2br w:val="nil"/>
                    <w:tr2bl w:val="nil"/>
                  </w:tcBorders>
                  <w:vAlign w:val="center"/>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所在工序</w:t>
                  </w:r>
                </w:p>
              </w:tc>
              <w:tc>
                <w:tcPr>
                  <w:tcW w:w="2062" w:type="dxa"/>
                  <w:tcBorders>
                    <w:tl2br w:val="nil"/>
                    <w:tr2bl w:val="nil"/>
                  </w:tcBorders>
                </w:tcPr>
                <w:p>
                  <w:pPr>
                    <w:numPr>
                      <w:ilvl w:val="0"/>
                      <w:numId w:val="0"/>
                    </w:numPr>
                    <w:autoSpaceDE w:val="0"/>
                    <w:autoSpaceDN w:val="0"/>
                    <w:adjustRightInd w:val="0"/>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备注</w:t>
                  </w:r>
                </w:p>
              </w:tc>
              <w:tc>
                <w:tcPr>
                  <w:tcW w:w="2062" w:type="dxa"/>
                  <w:tcBorders>
                    <w:tl2br w:val="nil"/>
                    <w:tr2bl w:val="nil"/>
                  </w:tcBorders>
                </w:tcPr>
                <w:p>
                  <w:pPr>
                    <w:numPr>
                      <w:ilvl w:val="0"/>
                      <w:numId w:val="0"/>
                    </w:numPr>
                    <w:autoSpaceDE w:val="0"/>
                    <w:autoSpaceDN w:val="0"/>
                    <w:adjustRightInd w:val="0"/>
                    <w:spacing w:line="360" w:lineRule="auto"/>
                    <w:ind w:lef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是否与环评及批复一致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01" w:type="dxa"/>
                  <w:tcBorders>
                    <w:tl2br w:val="nil"/>
                    <w:tr2bl w:val="nil"/>
                  </w:tcBorders>
                  <w:vAlign w:val="center"/>
                </w:tcPr>
                <w:p>
                  <w:pPr>
                    <w:pStyle w:val="4"/>
                    <w:numPr>
                      <w:ilvl w:val="0"/>
                      <w:numId w:val="0"/>
                    </w:numPr>
                    <w:snapToGrid w:val="0"/>
                    <w:spacing w:line="360" w:lineRule="auto"/>
                    <w:ind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797"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切割机</w:t>
                  </w:r>
                </w:p>
              </w:tc>
              <w:tc>
                <w:tcPr>
                  <w:tcW w:w="1884" w:type="dxa"/>
                  <w:tcBorders>
                    <w:tl2br w:val="nil"/>
                    <w:tr2bl w:val="nil"/>
                  </w:tcBorders>
                  <w:vAlign w:val="center"/>
                </w:tcPr>
                <w:p>
                  <w:pPr>
                    <w:numPr>
                      <w:ilvl w:val="0"/>
                      <w:numId w:val="0"/>
                    </w:numPr>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3台</w:t>
                  </w:r>
                </w:p>
              </w:tc>
              <w:tc>
                <w:tcPr>
                  <w:tcW w:w="2209"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切割</w:t>
                  </w:r>
                </w:p>
              </w:tc>
              <w:tc>
                <w:tcPr>
                  <w:tcW w:w="2062" w:type="dxa"/>
                  <w:tcBorders>
                    <w:tl2br w:val="nil"/>
                    <w:tr2bl w:val="nil"/>
                  </w:tcBorders>
                </w:tcPr>
                <w:p>
                  <w:pPr>
                    <w:widowControl/>
                    <w:numPr>
                      <w:ilvl w:val="0"/>
                      <w:numId w:val="0"/>
                    </w:numPr>
                    <w:spacing w:line="360" w:lineRule="auto"/>
                    <w:ind w:leftChars="0"/>
                    <w:jc w:val="center"/>
                    <w:rPr>
                      <w:rStyle w:val="14"/>
                      <w:rFonts w:hint="default" w:ascii="Times New Roman" w:hAnsi="Times New Roman" w:cs="Times New Roman"/>
                      <w:color w:val="000000" w:themeColor="text1"/>
                      <w14:textFill>
                        <w14:solidFill>
                          <w14:schemeClr w14:val="tx1"/>
                        </w14:solidFill>
                      </w14:textFill>
                    </w:rPr>
                  </w:pPr>
                  <w:r>
                    <w:rPr>
                      <w:rStyle w:val="14"/>
                      <w:rFonts w:hint="default" w:ascii="Times New Roman" w:hAnsi="Times New Roman" w:cs="Times New Roman"/>
                      <w:color w:val="000000" w:themeColor="text1"/>
                      <w14:textFill>
                        <w14:solidFill>
                          <w14:schemeClr w14:val="tx1"/>
                        </w14:solidFill>
                      </w14:textFill>
                    </w:rPr>
                    <w:t>新增</w:t>
                  </w:r>
                </w:p>
              </w:tc>
              <w:tc>
                <w:tcPr>
                  <w:tcW w:w="2062" w:type="dxa"/>
                  <w:tcBorders>
                    <w:tl2br w:val="nil"/>
                    <w:tr2bl w:val="nil"/>
                  </w:tcBorders>
                </w:tcPr>
                <w:p>
                  <w:pPr>
                    <w:widowControl/>
                    <w:numPr>
                      <w:ilvl w:val="0"/>
                      <w:numId w:val="0"/>
                    </w:numPr>
                    <w:spacing w:line="360" w:lineRule="auto"/>
                    <w:ind w:leftChars="0"/>
                    <w:jc w:val="center"/>
                    <w:rPr>
                      <w:rStyle w:val="14"/>
                      <w:rFonts w:hint="default" w:ascii="Times New Roman" w:hAnsi="Times New Roman" w:eastAsia="宋体" w:cs="Times New Roman"/>
                      <w:color w:val="000000" w:themeColor="text1"/>
                      <w:lang w:val="en-US" w:eastAsia="zh-CN"/>
                      <w14:textFill>
                        <w14:solidFill>
                          <w14:schemeClr w14:val="tx1"/>
                        </w14:solidFill>
                      </w14:textFill>
                    </w:rPr>
                  </w:pPr>
                  <w:r>
                    <w:rPr>
                      <w:rStyle w:val="14"/>
                      <w:rFonts w:hint="default" w:ascii="Times New Roman" w:hAnsi="Times New Roman" w:cs="Times New Roman"/>
                      <w:color w:val="000000" w:themeColor="text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01" w:type="dxa"/>
                  <w:tcBorders>
                    <w:tl2br w:val="nil"/>
                    <w:tr2bl w:val="nil"/>
                  </w:tcBorders>
                  <w:vAlign w:val="center"/>
                </w:tcPr>
                <w:p>
                  <w:pPr>
                    <w:pStyle w:val="4"/>
                    <w:numPr>
                      <w:ilvl w:val="0"/>
                      <w:numId w:val="0"/>
                    </w:numPr>
                    <w:snapToGrid w:val="0"/>
                    <w:spacing w:line="360" w:lineRule="auto"/>
                    <w:ind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797"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静电喷粉机</w:t>
                  </w:r>
                </w:p>
              </w:tc>
              <w:tc>
                <w:tcPr>
                  <w:tcW w:w="1884" w:type="dxa"/>
                  <w:tcBorders>
                    <w:tl2br w:val="nil"/>
                    <w:tr2bl w:val="nil"/>
                  </w:tcBorders>
                  <w:vAlign w:val="center"/>
                </w:tcPr>
                <w:p>
                  <w:pPr>
                    <w:numPr>
                      <w:ilvl w:val="0"/>
                      <w:numId w:val="0"/>
                    </w:numPr>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2台</w:t>
                  </w:r>
                </w:p>
              </w:tc>
              <w:tc>
                <w:tcPr>
                  <w:tcW w:w="2209"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喷粉</w:t>
                  </w:r>
                </w:p>
              </w:tc>
              <w:tc>
                <w:tcPr>
                  <w:tcW w:w="2062" w:type="dxa"/>
                  <w:tcBorders>
                    <w:tl2br w:val="nil"/>
                    <w:tr2bl w:val="nil"/>
                  </w:tcBorders>
                </w:tcPr>
                <w:p>
                  <w:pPr>
                    <w:widowControl/>
                    <w:numPr>
                      <w:ilvl w:val="0"/>
                      <w:numId w:val="0"/>
                    </w:numPr>
                    <w:spacing w:line="360" w:lineRule="auto"/>
                    <w:ind w:leftChars="0"/>
                    <w:jc w:val="center"/>
                    <w:rPr>
                      <w:rStyle w:val="14"/>
                      <w:rFonts w:hint="default" w:ascii="Times New Roman" w:hAnsi="Times New Roman" w:cs="Times New Roman"/>
                      <w:color w:val="000000" w:themeColor="text1"/>
                      <w14:textFill>
                        <w14:solidFill>
                          <w14:schemeClr w14:val="tx1"/>
                        </w14:solidFill>
                      </w14:textFill>
                    </w:rPr>
                  </w:pPr>
                  <w:r>
                    <w:rPr>
                      <w:rStyle w:val="14"/>
                      <w:rFonts w:hint="default" w:ascii="Times New Roman" w:hAnsi="Times New Roman" w:cs="Times New Roman"/>
                      <w:color w:val="000000" w:themeColor="text1"/>
                      <w14:textFill>
                        <w14:solidFill>
                          <w14:schemeClr w14:val="tx1"/>
                        </w14:solidFill>
                      </w14:textFill>
                    </w:rPr>
                    <w:t>新增</w:t>
                  </w:r>
                </w:p>
              </w:tc>
              <w:tc>
                <w:tcPr>
                  <w:tcW w:w="2062" w:type="dxa"/>
                  <w:tcBorders>
                    <w:tl2br w:val="nil"/>
                    <w:tr2bl w:val="nil"/>
                  </w:tcBorders>
                </w:tcPr>
                <w:p>
                  <w:pPr>
                    <w:widowControl/>
                    <w:numPr>
                      <w:ilvl w:val="0"/>
                      <w:numId w:val="0"/>
                    </w:numPr>
                    <w:spacing w:line="360" w:lineRule="auto"/>
                    <w:ind w:leftChars="0"/>
                    <w:jc w:val="center"/>
                    <w:rPr>
                      <w:rStyle w:val="14"/>
                      <w:rFonts w:hint="default" w:ascii="Times New Roman" w:hAnsi="Times New Roman" w:eastAsia="宋体" w:cs="Times New Roman"/>
                      <w:color w:val="000000" w:themeColor="text1"/>
                      <w:lang w:val="en-US" w:eastAsia="zh-CN"/>
                      <w14:textFill>
                        <w14:solidFill>
                          <w14:schemeClr w14:val="tx1"/>
                        </w14:solidFill>
                      </w14:textFill>
                    </w:rPr>
                  </w:pPr>
                  <w:r>
                    <w:rPr>
                      <w:rStyle w:val="14"/>
                      <w:rFonts w:hint="default" w:ascii="Times New Roman" w:hAnsi="Times New Roman" w:cs="Times New Roman"/>
                      <w:color w:val="000000" w:themeColor="text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01" w:type="dxa"/>
                  <w:tcBorders>
                    <w:tl2br w:val="nil"/>
                    <w:tr2bl w:val="nil"/>
                  </w:tcBorders>
                  <w:vAlign w:val="center"/>
                </w:tcPr>
                <w:p>
                  <w:pPr>
                    <w:pStyle w:val="4"/>
                    <w:numPr>
                      <w:ilvl w:val="0"/>
                      <w:numId w:val="0"/>
                    </w:numPr>
                    <w:snapToGrid w:val="0"/>
                    <w:spacing w:line="360" w:lineRule="auto"/>
                    <w:ind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797"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烘箱</w:t>
                  </w:r>
                </w:p>
              </w:tc>
              <w:tc>
                <w:tcPr>
                  <w:tcW w:w="1884" w:type="dxa"/>
                  <w:tcBorders>
                    <w:tl2br w:val="nil"/>
                    <w:tr2bl w:val="nil"/>
                  </w:tcBorders>
                  <w:vAlign w:val="center"/>
                </w:tcPr>
                <w:p>
                  <w:pPr>
                    <w:numPr>
                      <w:ilvl w:val="0"/>
                      <w:numId w:val="0"/>
                    </w:numPr>
                    <w:spacing w:line="360" w:lineRule="auto"/>
                    <w:ind w:left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1台</w:t>
                  </w:r>
                </w:p>
              </w:tc>
              <w:tc>
                <w:tcPr>
                  <w:tcW w:w="2209" w:type="dxa"/>
                  <w:tcBorders>
                    <w:tl2br w:val="nil"/>
                    <w:tr2bl w:val="nil"/>
                  </w:tcBorders>
                  <w:vAlign w:val="center"/>
                </w:tcPr>
                <w:p>
                  <w:pPr>
                    <w:widowControl/>
                    <w:numPr>
                      <w:ilvl w:val="0"/>
                      <w:numId w:val="0"/>
                    </w:numPr>
                    <w:spacing w:line="360" w:lineRule="auto"/>
                    <w:ind w:leftChars="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固化</w:t>
                  </w:r>
                </w:p>
              </w:tc>
              <w:tc>
                <w:tcPr>
                  <w:tcW w:w="2062" w:type="dxa"/>
                  <w:tcBorders>
                    <w:tl2br w:val="nil"/>
                    <w:tr2bl w:val="nil"/>
                  </w:tcBorders>
                </w:tcPr>
                <w:p>
                  <w:pPr>
                    <w:widowControl/>
                    <w:numPr>
                      <w:ilvl w:val="0"/>
                      <w:numId w:val="0"/>
                    </w:numPr>
                    <w:spacing w:line="360" w:lineRule="auto"/>
                    <w:ind w:leftChars="0"/>
                    <w:jc w:val="center"/>
                    <w:rPr>
                      <w:rStyle w:val="14"/>
                      <w:rFonts w:hint="default" w:ascii="Times New Roman" w:hAnsi="Times New Roman" w:cs="Times New Roman"/>
                      <w:color w:val="000000" w:themeColor="text1"/>
                      <w14:textFill>
                        <w14:solidFill>
                          <w14:schemeClr w14:val="tx1"/>
                        </w14:solidFill>
                      </w14:textFill>
                    </w:rPr>
                  </w:pPr>
                  <w:r>
                    <w:rPr>
                      <w:rStyle w:val="14"/>
                      <w:rFonts w:hint="default" w:ascii="Times New Roman" w:hAnsi="Times New Roman" w:cs="Times New Roman"/>
                      <w:color w:val="000000" w:themeColor="text1"/>
                      <w14:textFill>
                        <w14:solidFill>
                          <w14:schemeClr w14:val="tx1"/>
                        </w14:solidFill>
                      </w14:textFill>
                    </w:rPr>
                    <w:t>新增</w:t>
                  </w:r>
                </w:p>
              </w:tc>
              <w:tc>
                <w:tcPr>
                  <w:tcW w:w="2062" w:type="dxa"/>
                  <w:tcBorders>
                    <w:tl2br w:val="nil"/>
                    <w:tr2bl w:val="nil"/>
                  </w:tcBorders>
                </w:tcPr>
                <w:p>
                  <w:pPr>
                    <w:widowControl/>
                    <w:numPr>
                      <w:ilvl w:val="0"/>
                      <w:numId w:val="0"/>
                    </w:numPr>
                    <w:spacing w:line="360" w:lineRule="auto"/>
                    <w:ind w:leftChars="0"/>
                    <w:jc w:val="center"/>
                    <w:rPr>
                      <w:rStyle w:val="14"/>
                      <w:rFonts w:hint="default" w:ascii="Times New Roman" w:hAnsi="Times New Roman" w:eastAsia="宋体" w:cs="Times New Roman"/>
                      <w:color w:val="000000" w:themeColor="text1"/>
                      <w:lang w:val="en-US" w:eastAsia="zh-CN"/>
                      <w14:textFill>
                        <w14:solidFill>
                          <w14:schemeClr w14:val="tx1"/>
                        </w14:solidFill>
                      </w14:textFill>
                    </w:rPr>
                  </w:pPr>
                  <w:r>
                    <w:rPr>
                      <w:rStyle w:val="14"/>
                      <w:rFonts w:hint="default" w:ascii="Times New Roman" w:hAnsi="Times New Roman" w:cs="Times New Roman"/>
                      <w:color w:val="000000" w:themeColor="text1"/>
                      <w:lang w:val="en-US" w:eastAsia="zh-CN"/>
                      <w14:textFill>
                        <w14:solidFill>
                          <w14:schemeClr w14:val="tx1"/>
                        </w14:solidFill>
                      </w14:textFill>
                    </w:rPr>
                    <w:t>是</w:t>
                  </w:r>
                </w:p>
              </w:tc>
            </w:tr>
          </w:tbl>
          <w:p>
            <w:p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8、项目四至及周边现状</w:t>
            </w:r>
          </w:p>
          <w:p>
            <w:pPr>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本项目位于</w:t>
            </w:r>
            <w:r>
              <w:rPr>
                <w:rFonts w:hint="default" w:ascii="Times New Roman" w:hAnsi="Times New Roman" w:cs="Times New Roman"/>
                <w:bCs/>
                <w:color w:val="000000" w:themeColor="text1"/>
                <w:sz w:val="24"/>
                <w:szCs w:val="24"/>
                <w14:textFill>
                  <w14:solidFill>
                    <w14:schemeClr w14:val="tx1"/>
                  </w14:solidFill>
                </w14:textFill>
              </w:rPr>
              <w:t>梅州市梅江区三角镇金三角旋窑水泥厂有限公司8号楼，项目东面为东升竹器加工场有限公司，南面为空置厂房，西面为林地，北面为林地。</w:t>
            </w:r>
            <w:r>
              <w:rPr>
                <w:rFonts w:hint="default" w:ascii="Times New Roman" w:hAnsi="Times New Roman" w:cs="Times New Roman"/>
                <w:color w:val="000000" w:themeColor="text1"/>
                <w:sz w:val="24"/>
                <w:szCs w:val="20"/>
                <w14:textFill>
                  <w14:solidFill>
                    <w14:schemeClr w14:val="tx1"/>
                  </w14:solidFill>
                </w14:textFill>
              </w:rPr>
              <w:t>项目平面布置图见图2-1，现状及周边环境见图2-2：</w:t>
            </w:r>
          </w:p>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744085" cy="4753610"/>
                  <wp:effectExtent l="0" t="0" r="18415" b="8890"/>
                  <wp:docPr id="48" name="图片 22" descr="微信截图_20190409222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微信截图_20190409222953.png"/>
                          <pic:cNvPicPr>
                            <a:picLocks noChangeAspect="1"/>
                          </pic:cNvPicPr>
                        </pic:nvPicPr>
                        <pic:blipFill>
                          <a:blip r:embed="rId5" cstate="print"/>
                          <a:stretch>
                            <a:fillRect/>
                          </a:stretch>
                        </pic:blipFill>
                        <pic:spPr>
                          <a:xfrm>
                            <a:off x="0" y="0"/>
                            <a:ext cx="4744112" cy="4753639"/>
                          </a:xfrm>
                          <a:prstGeom prst="rect">
                            <a:avLst/>
                          </a:prstGeom>
                        </pic:spPr>
                      </pic:pic>
                    </a:graphicData>
                  </a:graphic>
                </wp:inline>
              </w:drawing>
            </w:r>
          </w:p>
          <w:p>
            <w:pPr>
              <w:spacing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图2-1  项目平面布置图</w:t>
            </w:r>
          </w:p>
          <w:tbl>
            <w:tblPr>
              <w:tblStyle w:val="12"/>
              <w:tblW w:w="0" w:type="auto"/>
              <w:jc w:val="center"/>
              <w:tblLayout w:type="fixed"/>
              <w:tblCellMar>
                <w:top w:w="0" w:type="dxa"/>
                <w:left w:w="0" w:type="dxa"/>
                <w:bottom w:w="0" w:type="dxa"/>
                <w:right w:w="0" w:type="dxa"/>
              </w:tblCellMar>
            </w:tblPr>
            <w:tblGrid>
              <w:gridCol w:w="4800"/>
              <w:gridCol w:w="4748"/>
            </w:tblGrid>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widowControl/>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drawing>
                      <wp:inline distT="0" distB="0" distL="0" distR="0">
                        <wp:extent cx="2740025" cy="2216150"/>
                        <wp:effectExtent l="0" t="0" r="3175" b="12700"/>
                        <wp:docPr id="49" name="图片 18" descr="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descr="南.jpg"/>
                                <pic:cNvPicPr>
                                  <a:picLocks noChangeAspect="1"/>
                                </pic:cNvPicPr>
                              </pic:nvPicPr>
                              <pic:blipFill>
                                <a:blip r:embed="rId6" cstate="print"/>
                                <a:stretch>
                                  <a:fillRect/>
                                </a:stretch>
                              </pic:blipFill>
                              <pic:spPr>
                                <a:xfrm flipH="1">
                                  <a:off x="0" y="0"/>
                                  <a:ext cx="2741714" cy="2217442"/>
                                </a:xfrm>
                                <a:prstGeom prst="rect">
                                  <a:avLst/>
                                </a:prstGeom>
                              </pic:spPr>
                            </pic:pic>
                          </a:graphicData>
                        </a:graphic>
                      </wp:inline>
                    </w:drawing>
                  </w:r>
                </w:p>
              </w:tc>
              <w:tc>
                <w:tcPr>
                  <w:tcW w:w="4748" w:type="dxa"/>
                  <w:noWrap w:val="0"/>
                  <w:tcMar>
                    <w:top w:w="57" w:type="dxa"/>
                    <w:bottom w:w="57" w:type="dxa"/>
                  </w:tcMar>
                  <w:vAlign w:val="center"/>
                </w:tcPr>
                <w:p>
                  <w:pPr>
                    <w:widowControl/>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drawing>
                      <wp:anchor distT="0" distB="0" distL="114300" distR="114300" simplePos="0" relativeHeight="251696128" behindDoc="0" locked="0" layoutInCell="1" allowOverlap="1">
                        <wp:simplePos x="0" y="0"/>
                        <wp:positionH relativeFrom="column">
                          <wp:posOffset>2831465</wp:posOffset>
                        </wp:positionH>
                        <wp:positionV relativeFrom="paragraph">
                          <wp:posOffset>4445</wp:posOffset>
                        </wp:positionV>
                        <wp:extent cx="2689860" cy="2251710"/>
                        <wp:effectExtent l="0" t="0" r="15240" b="15240"/>
                        <wp:wrapSquare wrapText="bothSides"/>
                        <wp:docPr id="50" name="图片 50"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南"/>
                                <pic:cNvPicPr>
                                  <a:picLocks noChangeAspect="1"/>
                                </pic:cNvPicPr>
                              </pic:nvPicPr>
                              <pic:blipFill>
                                <a:blip r:embed="rId7" cstate="print"/>
                                <a:stretch>
                                  <a:fillRect/>
                                </a:stretch>
                              </pic:blipFill>
                              <pic:spPr>
                                <a:xfrm>
                                  <a:off x="3767455" y="3005455"/>
                                  <a:ext cx="2689860" cy="2251710"/>
                                </a:xfrm>
                                <a:prstGeom prst="rect">
                                  <a:avLst/>
                                </a:prstGeom>
                              </pic:spPr>
                            </pic:pic>
                          </a:graphicData>
                        </a:graphic>
                      </wp:anchor>
                    </w:drawing>
                  </w:r>
                </w:p>
              </w:tc>
            </w:tr>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fldChar w:fldCharType="begin"/>
                  </w:r>
                  <w:r>
                    <w:rPr>
                      <w:rFonts w:hint="default" w:ascii="Times New Roman" w:hAnsi="Times New Roman" w:cs="Times New Roman"/>
                      <w:b/>
                      <w:color w:val="000000" w:themeColor="text1"/>
                      <w:sz w:val="24"/>
                      <w14:textFill>
                        <w14:solidFill>
                          <w14:schemeClr w14:val="tx1"/>
                        </w14:solidFill>
                      </w14:textFill>
                    </w:rPr>
                    <w:instrText xml:space="preserve"> = 1 \* GB3 </w:instrText>
                  </w:r>
                  <w:r>
                    <w:rPr>
                      <w:rFonts w:hint="default" w:ascii="Times New Roman" w:hAnsi="Times New Roman" w:cs="Times New Roman"/>
                      <w:b/>
                      <w:color w:val="000000" w:themeColor="text1"/>
                      <w:sz w:val="24"/>
                      <w14:textFill>
                        <w14:solidFill>
                          <w14:schemeClr w14:val="tx1"/>
                        </w14:solidFill>
                      </w14:textFill>
                    </w:rPr>
                    <w:fldChar w:fldCharType="separate"/>
                  </w:r>
                  <w:r>
                    <w:rPr>
                      <w:rFonts w:hint="default" w:ascii="Times New Roman" w:hAnsi="Times New Roman" w:cs="Times New Roman"/>
                      <w:b/>
                      <w:color w:val="000000" w:themeColor="text1"/>
                      <w:sz w:val="24"/>
                      <w14:textFill>
                        <w14:solidFill>
                          <w14:schemeClr w14:val="tx1"/>
                        </w14:solidFill>
                      </w14:textFill>
                    </w:rPr>
                    <w:t>①</w:t>
                  </w:r>
                  <w:r>
                    <w:rPr>
                      <w:rFonts w:hint="default" w:ascii="Times New Roman" w:hAnsi="Times New Roman" w:cs="Times New Roman"/>
                      <w:b/>
                      <w:color w:val="000000" w:themeColor="text1"/>
                      <w:sz w:val="24"/>
                      <w14:textFill>
                        <w14:solidFill>
                          <w14:schemeClr w14:val="tx1"/>
                        </w14:solidFill>
                      </w14:textFill>
                    </w:rPr>
                    <w:fldChar w:fldCharType="end"/>
                  </w:r>
                  <w:r>
                    <w:rPr>
                      <w:rFonts w:hint="default" w:ascii="Times New Roman" w:hAnsi="Times New Roman" w:cs="Times New Roman"/>
                      <w:b/>
                      <w:color w:val="000000" w:themeColor="text1"/>
                      <w:sz w:val="24"/>
                      <w:lang w:eastAsia="zh-CN"/>
                      <w14:textFill>
                        <w14:solidFill>
                          <w14:schemeClr w14:val="tx1"/>
                        </w14:solidFill>
                      </w14:textFill>
                    </w:rPr>
                    <w:t>项目东面——东升竹器加工场</w:t>
                  </w:r>
                </w:p>
              </w:tc>
              <w:tc>
                <w:tcPr>
                  <w:tcW w:w="4748"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fldChar w:fldCharType="begin"/>
                  </w:r>
                  <w:r>
                    <w:rPr>
                      <w:rFonts w:hint="default" w:ascii="Times New Roman" w:hAnsi="Times New Roman" w:cs="Times New Roman"/>
                      <w:b/>
                      <w:color w:val="000000" w:themeColor="text1"/>
                      <w:sz w:val="24"/>
                      <w14:textFill>
                        <w14:solidFill>
                          <w14:schemeClr w14:val="tx1"/>
                        </w14:solidFill>
                      </w14:textFill>
                    </w:rPr>
                    <w:instrText xml:space="preserve"> = 2 \* GB3 </w:instrText>
                  </w:r>
                  <w:r>
                    <w:rPr>
                      <w:rFonts w:hint="default" w:ascii="Times New Roman" w:hAnsi="Times New Roman" w:cs="Times New Roman"/>
                      <w:b/>
                      <w:color w:val="000000" w:themeColor="text1"/>
                      <w:sz w:val="24"/>
                      <w14:textFill>
                        <w14:solidFill>
                          <w14:schemeClr w14:val="tx1"/>
                        </w14:solidFill>
                      </w14:textFill>
                    </w:rPr>
                    <w:fldChar w:fldCharType="separate"/>
                  </w:r>
                  <w:r>
                    <w:rPr>
                      <w:rFonts w:hint="default" w:ascii="Times New Roman" w:hAnsi="Times New Roman" w:cs="Times New Roman"/>
                      <w:b/>
                      <w:color w:val="000000" w:themeColor="text1"/>
                      <w:sz w:val="24"/>
                      <w14:textFill>
                        <w14:solidFill>
                          <w14:schemeClr w14:val="tx1"/>
                        </w14:solidFill>
                      </w14:textFill>
                    </w:rPr>
                    <w:t>②</w:t>
                  </w:r>
                  <w:r>
                    <w:rPr>
                      <w:rFonts w:hint="default" w:ascii="Times New Roman" w:hAnsi="Times New Roman" w:cs="Times New Roman"/>
                      <w:b/>
                      <w:color w:val="000000" w:themeColor="text1"/>
                      <w:sz w:val="24"/>
                      <w14:textFill>
                        <w14:solidFill>
                          <w14:schemeClr w14:val="tx1"/>
                        </w14:solidFill>
                      </w14:textFill>
                    </w:rPr>
                    <w:fldChar w:fldCharType="end"/>
                  </w:r>
                  <w:r>
                    <w:rPr>
                      <w:rFonts w:hint="default" w:ascii="Times New Roman" w:hAnsi="Times New Roman" w:cs="Times New Roman"/>
                      <w:b/>
                      <w:color w:val="000000" w:themeColor="text1"/>
                      <w:sz w:val="24"/>
                      <w:lang w:eastAsia="zh-CN"/>
                      <w14:textFill>
                        <w14:solidFill>
                          <w14:schemeClr w14:val="tx1"/>
                        </w14:solidFill>
                      </w14:textFill>
                    </w:rPr>
                    <w:t>项目南面——空置厂房</w:t>
                  </w:r>
                </w:p>
              </w:tc>
            </w:tr>
            <w:tr>
              <w:tblPrEx>
                <w:tblCellMar>
                  <w:top w:w="0" w:type="dxa"/>
                  <w:left w:w="0" w:type="dxa"/>
                  <w:bottom w:w="0" w:type="dxa"/>
                  <w:right w:w="0" w:type="dxa"/>
                </w:tblCellMar>
              </w:tblPrEx>
              <w:trPr>
                <w:trHeight w:val="90" w:hRule="atLeast"/>
                <w:jc w:val="center"/>
              </w:trPr>
              <w:tc>
                <w:tcPr>
                  <w:tcW w:w="4800" w:type="dxa"/>
                  <w:noWrap w:val="0"/>
                  <w:tcMar>
                    <w:top w:w="57" w:type="dxa"/>
                    <w:bottom w:w="57" w:type="dxa"/>
                  </w:tcMar>
                  <w:vAlign w:val="center"/>
                </w:tcPr>
                <w:p>
                  <w:pPr>
                    <w:widowControl/>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drawing>
                      <wp:inline distT="0" distB="0" distL="0" distR="0">
                        <wp:extent cx="2743200" cy="2070100"/>
                        <wp:effectExtent l="0" t="0" r="0" b="6350"/>
                        <wp:docPr id="20" name="图片 19" descr="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西.jpg"/>
                                <pic:cNvPicPr>
                                  <a:picLocks noChangeAspect="1"/>
                                </pic:cNvPicPr>
                              </pic:nvPicPr>
                              <pic:blipFill>
                                <a:blip r:embed="rId8" cstate="print"/>
                                <a:stretch>
                                  <a:fillRect/>
                                </a:stretch>
                              </pic:blipFill>
                              <pic:spPr>
                                <a:xfrm flipH="1">
                                  <a:off x="0" y="0"/>
                                  <a:ext cx="2743554" cy="2070201"/>
                                </a:xfrm>
                                <a:prstGeom prst="rect">
                                  <a:avLst/>
                                </a:prstGeom>
                              </pic:spPr>
                            </pic:pic>
                          </a:graphicData>
                        </a:graphic>
                      </wp:inline>
                    </w:drawing>
                  </w:r>
                </w:p>
              </w:tc>
              <w:tc>
                <w:tcPr>
                  <w:tcW w:w="4748" w:type="dxa"/>
                  <w:noWrap w:val="0"/>
                  <w:tcMar>
                    <w:top w:w="57" w:type="dxa"/>
                    <w:bottom w:w="57" w:type="dxa"/>
                  </w:tcMar>
                  <w:vAlign w:val="center"/>
                </w:tcPr>
                <w:p>
                  <w:pPr>
                    <w:widowControl/>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drawing>
                      <wp:inline distT="0" distB="0" distL="0" distR="0">
                        <wp:extent cx="2661920" cy="2070100"/>
                        <wp:effectExtent l="0" t="0" r="5080" b="6350"/>
                        <wp:docPr id="22" name="图片 21" descr="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北.jpg"/>
                                <pic:cNvPicPr>
                                  <a:picLocks noChangeAspect="1"/>
                                </pic:cNvPicPr>
                              </pic:nvPicPr>
                              <pic:blipFill>
                                <a:blip r:embed="rId9" cstate="print"/>
                                <a:stretch>
                                  <a:fillRect/>
                                </a:stretch>
                              </pic:blipFill>
                              <pic:spPr>
                                <a:xfrm>
                                  <a:off x="0" y="0"/>
                                  <a:ext cx="2666632" cy="2073387"/>
                                </a:xfrm>
                                <a:prstGeom prst="rect">
                                  <a:avLst/>
                                </a:prstGeom>
                              </pic:spPr>
                            </pic:pic>
                          </a:graphicData>
                        </a:graphic>
                      </wp:inline>
                    </w:drawing>
                  </w:r>
                </w:p>
              </w:tc>
            </w:tr>
            <w:tr>
              <w:tblPrEx>
                <w:tblCellMar>
                  <w:top w:w="0" w:type="dxa"/>
                  <w:left w:w="0" w:type="dxa"/>
                  <w:bottom w:w="0" w:type="dxa"/>
                  <w:right w:w="0" w:type="dxa"/>
                </w:tblCellMar>
              </w:tblPrEx>
              <w:trPr>
                <w:jc w:val="center"/>
              </w:trPr>
              <w:tc>
                <w:tcPr>
                  <w:tcW w:w="4800"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fldChar w:fldCharType="begin"/>
                  </w:r>
                  <w:r>
                    <w:rPr>
                      <w:rFonts w:hint="default" w:ascii="Times New Roman" w:hAnsi="Times New Roman" w:cs="Times New Roman"/>
                      <w:b/>
                      <w:color w:val="000000" w:themeColor="text1"/>
                      <w:sz w:val="24"/>
                      <w14:textFill>
                        <w14:solidFill>
                          <w14:schemeClr w14:val="tx1"/>
                        </w14:solidFill>
                      </w14:textFill>
                    </w:rPr>
                    <w:instrText xml:space="preserve"> = 3 \* GB3 </w:instrText>
                  </w:r>
                  <w:r>
                    <w:rPr>
                      <w:rFonts w:hint="default" w:ascii="Times New Roman" w:hAnsi="Times New Roman" w:cs="Times New Roman"/>
                      <w:b/>
                      <w:color w:val="000000" w:themeColor="text1"/>
                      <w:sz w:val="24"/>
                      <w14:textFill>
                        <w14:solidFill>
                          <w14:schemeClr w14:val="tx1"/>
                        </w14:solidFill>
                      </w14:textFill>
                    </w:rPr>
                    <w:fldChar w:fldCharType="separate"/>
                  </w:r>
                  <w:r>
                    <w:rPr>
                      <w:rFonts w:hint="default" w:ascii="Times New Roman" w:hAnsi="Times New Roman" w:cs="Times New Roman"/>
                      <w:b/>
                      <w:color w:val="000000" w:themeColor="text1"/>
                      <w:sz w:val="24"/>
                      <w14:textFill>
                        <w14:solidFill>
                          <w14:schemeClr w14:val="tx1"/>
                        </w14:solidFill>
                      </w14:textFill>
                    </w:rPr>
                    <w:t>③</w:t>
                  </w:r>
                  <w:r>
                    <w:rPr>
                      <w:rFonts w:hint="default" w:ascii="Times New Roman" w:hAnsi="Times New Roman" w:cs="Times New Roman"/>
                      <w:b/>
                      <w:color w:val="000000" w:themeColor="text1"/>
                      <w:sz w:val="24"/>
                      <w14:textFill>
                        <w14:solidFill>
                          <w14:schemeClr w14:val="tx1"/>
                        </w14:solidFill>
                      </w14:textFill>
                    </w:rPr>
                    <w:fldChar w:fldCharType="end"/>
                  </w:r>
                  <w:r>
                    <w:rPr>
                      <w:rFonts w:hint="default" w:ascii="Times New Roman" w:hAnsi="Times New Roman" w:cs="Times New Roman"/>
                      <w:b/>
                      <w:color w:val="000000" w:themeColor="text1"/>
                      <w:sz w:val="24"/>
                      <w:lang w:eastAsia="zh-CN"/>
                      <w14:textFill>
                        <w14:solidFill>
                          <w14:schemeClr w14:val="tx1"/>
                        </w14:solidFill>
                      </w14:textFill>
                    </w:rPr>
                    <w:t>项目西面——林地</w:t>
                  </w:r>
                </w:p>
              </w:tc>
              <w:tc>
                <w:tcPr>
                  <w:tcW w:w="4748" w:type="dxa"/>
                  <w:noWrap w:val="0"/>
                  <w:tcMar>
                    <w:top w:w="57" w:type="dxa"/>
                    <w:bottom w:w="57" w:type="dxa"/>
                  </w:tcMar>
                  <w:vAlign w:val="center"/>
                </w:tcPr>
                <w:p>
                  <w:pPr>
                    <w:tabs>
                      <w:tab w:val="left" w:pos="2940"/>
                    </w:tabs>
                    <w:snapToGrid w:val="0"/>
                    <w:jc w:val="center"/>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fldChar w:fldCharType="begin"/>
                  </w:r>
                  <w:r>
                    <w:rPr>
                      <w:rFonts w:hint="default" w:ascii="Times New Roman" w:hAnsi="Times New Roman" w:cs="Times New Roman"/>
                      <w:b/>
                      <w:color w:val="000000" w:themeColor="text1"/>
                      <w:sz w:val="24"/>
                      <w14:textFill>
                        <w14:solidFill>
                          <w14:schemeClr w14:val="tx1"/>
                        </w14:solidFill>
                      </w14:textFill>
                    </w:rPr>
                    <w:instrText xml:space="preserve"> = 4 \* GB3 </w:instrText>
                  </w:r>
                  <w:r>
                    <w:rPr>
                      <w:rFonts w:hint="default" w:ascii="Times New Roman" w:hAnsi="Times New Roman" w:cs="Times New Roman"/>
                      <w:b/>
                      <w:color w:val="000000" w:themeColor="text1"/>
                      <w:sz w:val="24"/>
                      <w14:textFill>
                        <w14:solidFill>
                          <w14:schemeClr w14:val="tx1"/>
                        </w14:solidFill>
                      </w14:textFill>
                    </w:rPr>
                    <w:fldChar w:fldCharType="separate"/>
                  </w:r>
                  <w:r>
                    <w:rPr>
                      <w:rFonts w:hint="default" w:ascii="Times New Roman" w:hAnsi="Times New Roman" w:cs="Times New Roman"/>
                      <w:b/>
                      <w:color w:val="000000" w:themeColor="text1"/>
                      <w:sz w:val="24"/>
                      <w14:textFill>
                        <w14:solidFill>
                          <w14:schemeClr w14:val="tx1"/>
                        </w14:solidFill>
                      </w14:textFill>
                    </w:rPr>
                    <w:t>④</w:t>
                  </w:r>
                  <w:r>
                    <w:rPr>
                      <w:rFonts w:hint="default" w:ascii="Times New Roman" w:hAnsi="Times New Roman" w:cs="Times New Roman"/>
                      <w:b/>
                      <w:color w:val="000000" w:themeColor="text1"/>
                      <w:sz w:val="24"/>
                      <w14:textFill>
                        <w14:solidFill>
                          <w14:schemeClr w14:val="tx1"/>
                        </w14:solidFill>
                      </w14:textFill>
                    </w:rPr>
                    <w:fldChar w:fldCharType="end"/>
                  </w:r>
                  <w:r>
                    <w:rPr>
                      <w:rFonts w:hint="default" w:ascii="Times New Roman" w:hAnsi="Times New Roman" w:cs="Times New Roman"/>
                      <w:b/>
                      <w:color w:val="000000" w:themeColor="text1"/>
                      <w:sz w:val="24"/>
                      <w:lang w:eastAsia="zh-CN"/>
                      <w14:textFill>
                        <w14:solidFill>
                          <w14:schemeClr w14:val="tx1"/>
                        </w14:solidFill>
                      </w14:textFill>
                    </w:rPr>
                    <w:t>项目北面——林地</w:t>
                  </w:r>
                </w:p>
              </w:tc>
            </w:tr>
          </w:tbl>
          <w:p>
            <w:pPr>
              <w:spacing w:line="280" w:lineRule="exact"/>
              <w:jc w:val="center"/>
              <w:rPr>
                <w:rFonts w:hint="default" w:ascii="Times New Roman" w:hAnsi="Times New Roman"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4" w:type="dxa"/>
            <w:noWrap w:val="0"/>
            <w:vAlign w:val="top"/>
          </w:tcPr>
          <w:p>
            <w:pPr>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原辅材料消耗及水平衡：</w:t>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1、生产原料及年消耗情况</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该项目原材料用量见表2-3。</w:t>
            </w:r>
          </w:p>
          <w:p>
            <w:pPr>
              <w:widowControl w:val="0"/>
              <w:spacing w:before="0"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表2-3  项目生产原料用量一览表</w:t>
            </w:r>
          </w:p>
          <w:tbl>
            <w:tblPr>
              <w:tblStyle w:val="12"/>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638"/>
              <w:gridCol w:w="1384"/>
              <w:gridCol w:w="2409"/>
              <w:gridCol w:w="2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06" w:type="dxa"/>
                  <w:tcBorders>
                    <w:tl2br w:val="nil"/>
                    <w:tr2bl w:val="nil"/>
                  </w:tcBorders>
                  <w:vAlign w:val="center"/>
                </w:tcPr>
                <w:p>
                  <w:pPr>
                    <w:autoSpaceDE w:val="0"/>
                    <w:autoSpaceDN w:val="0"/>
                    <w:adjustRightInd w:val="0"/>
                    <w:spacing w:line="24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p>
              </w:tc>
              <w:tc>
                <w:tcPr>
                  <w:tcW w:w="1638" w:type="dxa"/>
                  <w:tcBorders>
                    <w:tl2br w:val="nil"/>
                    <w:tr2bl w:val="nil"/>
                  </w:tcBorders>
                  <w:vAlign w:val="center"/>
                </w:tcPr>
                <w:p>
                  <w:pPr>
                    <w:autoSpaceDE w:val="0"/>
                    <w:autoSpaceDN w:val="0"/>
                    <w:adjustRightInd w:val="0"/>
                    <w:spacing w:line="24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名称</w:t>
                  </w:r>
                </w:p>
              </w:tc>
              <w:tc>
                <w:tcPr>
                  <w:tcW w:w="1384" w:type="dxa"/>
                  <w:tcBorders>
                    <w:tl2br w:val="nil"/>
                    <w:tr2bl w:val="nil"/>
                  </w:tcBorders>
                  <w:vAlign w:val="center"/>
                </w:tcPr>
                <w:p>
                  <w:pPr>
                    <w:autoSpaceDE w:val="0"/>
                    <w:autoSpaceDN w:val="0"/>
                    <w:adjustRightInd w:val="0"/>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年耗量</w:t>
                  </w:r>
                </w:p>
              </w:tc>
              <w:tc>
                <w:tcPr>
                  <w:tcW w:w="2409" w:type="dxa"/>
                  <w:tcBorders>
                    <w:tl2br w:val="nil"/>
                    <w:tr2bl w:val="nil"/>
                  </w:tcBorders>
                  <w:vAlign w:val="center"/>
                </w:tcPr>
                <w:p>
                  <w:pPr>
                    <w:autoSpaceDE w:val="0"/>
                    <w:autoSpaceDN w:val="0"/>
                    <w:adjustRightInd w:val="0"/>
                    <w:spacing w:line="24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单位</w:t>
                  </w:r>
                </w:p>
              </w:tc>
              <w:tc>
                <w:tcPr>
                  <w:tcW w:w="2421" w:type="dxa"/>
                  <w:tcBorders>
                    <w:tl2br w:val="nil"/>
                    <w:tr2bl w:val="nil"/>
                  </w:tcBorders>
                  <w:vAlign w:val="center"/>
                </w:tcPr>
                <w:p>
                  <w:pPr>
                    <w:autoSpaceDE w:val="0"/>
                    <w:autoSpaceDN w:val="0"/>
                    <w:adjustRightInd w:val="0"/>
                    <w:spacing w:line="24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06" w:type="dxa"/>
                  <w:vMerge w:val="restart"/>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主</w:t>
                  </w:r>
                </w:p>
                <w:p>
                  <w:pPr>
                    <w:autoSpaceDE w:val="0"/>
                    <w:autoSpaceDN w:val="0"/>
                    <w:adjustRightInd w:val="0"/>
                    <w:spacing w:line="22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（辅）</w:t>
                  </w:r>
                </w:p>
                <w:p>
                  <w:pPr>
                    <w:autoSpaceDE w:val="0"/>
                    <w:autoSpaceDN w:val="0"/>
                    <w:adjustRightInd w:val="0"/>
                    <w:spacing w:line="22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料</w:t>
                  </w:r>
                </w:p>
              </w:tc>
              <w:tc>
                <w:tcPr>
                  <w:tcW w:w="1638"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铁件</w:t>
                  </w:r>
                </w:p>
              </w:tc>
              <w:tc>
                <w:tcPr>
                  <w:tcW w:w="1384"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15</w:t>
                  </w:r>
                </w:p>
              </w:tc>
              <w:tc>
                <w:tcPr>
                  <w:tcW w:w="2409"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t</w:t>
                  </w:r>
                </w:p>
              </w:tc>
              <w:tc>
                <w:tcPr>
                  <w:tcW w:w="2421"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06" w:type="dxa"/>
                  <w:vMerge w:val="continue"/>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lang w:val="zh-CN"/>
                      <w14:textFill>
                        <w14:solidFill>
                          <w14:schemeClr w14:val="tx1"/>
                        </w14:solidFill>
                      </w14:textFill>
                    </w:rPr>
                  </w:pPr>
                </w:p>
              </w:tc>
              <w:tc>
                <w:tcPr>
                  <w:tcW w:w="1638"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喷涂粉</w:t>
                  </w:r>
                </w:p>
              </w:tc>
              <w:tc>
                <w:tcPr>
                  <w:tcW w:w="1384"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2409"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t</w:t>
                  </w:r>
                </w:p>
              </w:tc>
              <w:tc>
                <w:tcPr>
                  <w:tcW w:w="2421"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106"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能源</w:t>
                  </w:r>
                </w:p>
              </w:tc>
              <w:tc>
                <w:tcPr>
                  <w:tcW w:w="1638" w:type="dxa"/>
                  <w:tcBorders>
                    <w:tl2br w:val="nil"/>
                    <w:tr2bl w:val="nil"/>
                  </w:tcBorders>
                  <w:vAlign w:val="center"/>
                </w:tcPr>
                <w:p>
                  <w:pPr>
                    <w:widowControl/>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w:t>
                  </w:r>
                </w:p>
              </w:tc>
              <w:tc>
                <w:tcPr>
                  <w:tcW w:w="1384" w:type="dxa"/>
                  <w:tcBorders>
                    <w:tl2br w:val="nil"/>
                    <w:tr2bl w:val="nil"/>
                  </w:tcBorders>
                  <w:vAlign w:val="center"/>
                </w:tcPr>
                <w:p>
                  <w:pPr>
                    <w:widowControl/>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12000</w:t>
                  </w:r>
                </w:p>
              </w:tc>
              <w:tc>
                <w:tcPr>
                  <w:tcW w:w="2409"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KW·h</w:t>
                  </w:r>
                </w:p>
              </w:tc>
              <w:tc>
                <w:tcPr>
                  <w:tcW w:w="2421"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市政供电管网供应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106"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zh-CN"/>
                      <w14:textFill>
                        <w14:solidFill>
                          <w14:schemeClr w14:val="tx1"/>
                        </w14:solidFill>
                      </w14:textFill>
                    </w:rPr>
                    <w:t>水量</w:t>
                  </w:r>
                </w:p>
              </w:tc>
              <w:tc>
                <w:tcPr>
                  <w:tcW w:w="1638" w:type="dxa"/>
                  <w:tcBorders>
                    <w:tl2br w:val="nil"/>
                    <w:tr2bl w:val="nil"/>
                  </w:tcBorders>
                  <w:vAlign w:val="center"/>
                </w:tcPr>
                <w:p>
                  <w:pPr>
                    <w:spacing w:line="2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w:t>
                  </w:r>
                </w:p>
              </w:tc>
              <w:tc>
                <w:tcPr>
                  <w:tcW w:w="1384"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48</w:t>
                  </w:r>
                </w:p>
              </w:tc>
              <w:tc>
                <w:tcPr>
                  <w:tcW w:w="2409"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t</w:t>
                  </w:r>
                </w:p>
              </w:tc>
              <w:tc>
                <w:tcPr>
                  <w:tcW w:w="2421" w:type="dxa"/>
                  <w:tcBorders>
                    <w:tl2br w:val="nil"/>
                    <w:tr2bl w:val="nil"/>
                  </w:tcBorders>
                  <w:vAlign w:val="center"/>
                </w:tcPr>
                <w:p>
                  <w:pPr>
                    <w:autoSpaceDE w:val="0"/>
                    <w:autoSpaceDN w:val="0"/>
                    <w:adjustRightInd w:val="0"/>
                    <w:spacing w:line="2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市政供水管网供应</w:t>
                  </w:r>
                </w:p>
              </w:tc>
            </w:tr>
          </w:tbl>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2、人员规模及工作制度</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本项目劳动定员</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人，实行1班制作业，每班工作8h，全年工作日</w:t>
            </w:r>
            <w:r>
              <w:rPr>
                <w:rFonts w:hint="default"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cs="Times New Roman"/>
                <w:color w:val="000000" w:themeColor="text1"/>
                <w:sz w:val="24"/>
                <w:szCs w:val="24"/>
                <w14:textFill>
                  <w14:solidFill>
                    <w14:schemeClr w14:val="tx1"/>
                  </w14:solidFill>
                </w14:textFill>
              </w:rPr>
              <w:t>0天。</w:t>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3、给排水系统</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该项目用水</w:t>
            </w:r>
            <w:r>
              <w:rPr>
                <w:rFonts w:hint="default" w:ascii="Times New Roman" w:hAnsi="Times New Roman" w:cs="Times New Roman"/>
                <w:color w:val="000000" w:themeColor="text1"/>
                <w:sz w:val="24"/>
                <w:szCs w:val="24"/>
                <w14:textFill>
                  <w14:solidFill>
                    <w14:schemeClr w14:val="tx1"/>
                  </w14:solidFill>
                </w14:textFill>
              </w:rPr>
              <w:t>由市政给水管网统一供应</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（1）给水</w:t>
            </w:r>
          </w:p>
          <w:p>
            <w:pPr>
              <w:widowControl w:val="0"/>
              <w:spacing w:line="360" w:lineRule="auto"/>
              <w:ind w:firstLine="480" w:firstLineChars="200"/>
              <w:jc w:val="both"/>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本项目用水主要为生活用水，由</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市政供水管网</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供给。本项目无生产用水；生活用水量为48m</w:t>
            </w:r>
            <w:r>
              <w:rPr>
                <w:rFonts w:hint="default"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/a（0.16m</w:t>
            </w:r>
            <w:r>
              <w:rPr>
                <w:rFonts w:hint="default"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 xml:space="preserve">/d）。其用水量估算见表2-4： </w:t>
            </w:r>
          </w:p>
          <w:p>
            <w:pPr>
              <w:ind w:firstLine="445" w:firstLineChars="211"/>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-4 项目各用水对象及用水量、排水量估算</w:t>
            </w:r>
          </w:p>
          <w:tbl>
            <w:tblPr>
              <w:tblStyle w:val="12"/>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779"/>
              <w:gridCol w:w="879"/>
              <w:gridCol w:w="1721"/>
              <w:gridCol w:w="1086"/>
              <w:gridCol w:w="760"/>
              <w:gridCol w:w="919"/>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1535"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用水对象</w:t>
                  </w:r>
                </w:p>
              </w:tc>
              <w:tc>
                <w:tcPr>
                  <w:tcW w:w="779"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单位</w:t>
                  </w:r>
                </w:p>
              </w:tc>
              <w:tc>
                <w:tcPr>
                  <w:tcW w:w="879"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规模</w:t>
                  </w:r>
                </w:p>
              </w:tc>
              <w:tc>
                <w:tcPr>
                  <w:tcW w:w="1721" w:type="dxa"/>
                  <w:tcBorders>
                    <w:tl2br w:val="nil"/>
                    <w:tr2bl w:val="nil"/>
                  </w:tcBorders>
                  <w:vAlign w:val="center"/>
                </w:tcPr>
                <w:p>
                  <w:pPr>
                    <w:snapToGrid w:val="0"/>
                    <w:ind w:left="-2" w:leftChars="-1"/>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用水指标</w:t>
                  </w:r>
                </w:p>
              </w:tc>
              <w:tc>
                <w:tcPr>
                  <w:tcW w:w="1086" w:type="dxa"/>
                  <w:tcBorders>
                    <w:tl2br w:val="nil"/>
                    <w:tr2bl w:val="nil"/>
                  </w:tcBorders>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用水量(m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w:t>
                  </w:r>
                </w:p>
              </w:tc>
              <w:tc>
                <w:tcPr>
                  <w:tcW w:w="760" w:type="dxa"/>
                  <w:tcBorders>
                    <w:tl2br w:val="nil"/>
                    <w:tr2bl w:val="nil"/>
                  </w:tcBorders>
                  <w:vAlign w:val="center"/>
                </w:tcPr>
                <w:p>
                  <w:pPr>
                    <w:snapToGrid w:val="0"/>
                    <w:ind w:left="-5" w:leftChars="-10" w:hanging="16" w:hangingChar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排水系数</w:t>
                  </w:r>
                </w:p>
              </w:tc>
              <w:tc>
                <w:tcPr>
                  <w:tcW w:w="919" w:type="dxa"/>
                  <w:tcBorders>
                    <w:tl2br w:val="nil"/>
                    <w:tr2bl w:val="nil"/>
                  </w:tcBorders>
                  <w:vAlign w:val="center"/>
                </w:tcPr>
                <w:p>
                  <w:pPr>
                    <w:snapToGrid w:val="0"/>
                    <w:ind w:left="-5" w:leftChars="-10" w:hanging="16" w:hangingChar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排水量(m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w:t>
                  </w:r>
                </w:p>
              </w:tc>
              <w:tc>
                <w:tcPr>
                  <w:tcW w:w="1279" w:type="dxa"/>
                  <w:tcBorders>
                    <w:tl2br w:val="nil"/>
                    <w:tr2bl w:val="nil"/>
                  </w:tcBorders>
                  <w:vAlign w:val="center"/>
                </w:tcPr>
                <w:p>
                  <w:pPr>
                    <w:snapToGrid w:val="0"/>
                    <w:ind w:left="-5" w:leftChars="-10" w:hanging="16" w:hangingChar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535" w:type="dxa"/>
                  <w:tcBorders>
                    <w:tl2br w:val="nil"/>
                    <w:tr2bl w:val="nil"/>
                  </w:tcBorders>
                  <w:vAlign w:val="center"/>
                </w:tcPr>
                <w:p>
                  <w:pPr>
                    <w:ind w:left="-53" w:leftChars="-25"/>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办公生活用水</w:t>
                  </w:r>
                </w:p>
              </w:tc>
              <w:tc>
                <w:tcPr>
                  <w:tcW w:w="77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人</w:t>
                  </w:r>
                </w:p>
              </w:tc>
              <w:tc>
                <w:tcPr>
                  <w:tcW w:w="87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721"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0.04m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/人·d</w:t>
                  </w:r>
                </w:p>
              </w:tc>
              <w:tc>
                <w:tcPr>
                  <w:tcW w:w="1086"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0.16</w:t>
                  </w:r>
                </w:p>
              </w:tc>
              <w:tc>
                <w:tcPr>
                  <w:tcW w:w="760"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0.9</w:t>
                  </w:r>
                </w:p>
              </w:tc>
              <w:tc>
                <w:tcPr>
                  <w:tcW w:w="91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0.144</w:t>
                  </w:r>
                </w:p>
              </w:tc>
              <w:tc>
                <w:tcPr>
                  <w:tcW w:w="1279" w:type="dxa"/>
                  <w:tcBorders>
                    <w:tl2br w:val="nil"/>
                    <w:tr2bl w:val="nil"/>
                  </w:tcBorders>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（2）排水及去向</w:t>
            </w:r>
          </w:p>
          <w:p>
            <w:pPr>
              <w:spacing w:line="360" w:lineRule="auto"/>
              <w:ind w:firstLine="480"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本项目营运期产生的生活污水经三级化粪池处理达《农田灌溉水质标准》(GB5084-2005)</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表1</w:t>
            </w:r>
            <w:bookmarkStart w:id="32" w:name="_GoBack"/>
            <w:bookmarkEnd w:id="32"/>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旱作物水质标准后用于项目周边林灌，不外排。</w:t>
            </w:r>
          </w:p>
          <w:p>
            <w:p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4、项目能源消耗情况</w:t>
            </w:r>
          </w:p>
          <w:p>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该项目供电来自于市政电网，年用电量约</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万kWh。</w:t>
            </w:r>
          </w:p>
          <w:p>
            <w:pPr>
              <w:numPr>
                <w:ilvl w:val="0"/>
                <w:numId w:val="5"/>
              </w:numPr>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项目水平衡图</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根据本项目用水情况，水平衡图如下：</w:t>
            </w:r>
          </w:p>
          <w:p>
            <w:pPr>
              <w:pStyle w:val="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5671820" cy="1316355"/>
                  <wp:effectExtent l="0" t="0" r="5080" b="17145"/>
                  <wp:docPr id="51" name="图片 7" descr="微信截图_201904031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微信截图_20190403151526.png"/>
                          <pic:cNvPicPr>
                            <a:picLocks noChangeAspect="1"/>
                          </pic:cNvPicPr>
                        </pic:nvPicPr>
                        <pic:blipFill>
                          <a:blip r:embed="rId10" cstate="print"/>
                          <a:stretch>
                            <a:fillRect/>
                          </a:stretch>
                        </pic:blipFill>
                        <pic:spPr>
                          <a:xfrm>
                            <a:off x="0" y="0"/>
                            <a:ext cx="5676632" cy="1317680"/>
                          </a:xfrm>
                          <a:prstGeom prst="rect">
                            <a:avLst/>
                          </a:prstGeom>
                        </pic:spPr>
                      </pic:pic>
                    </a:graphicData>
                  </a:graphic>
                </wp:inline>
              </w:drawing>
            </w:r>
          </w:p>
          <w:p>
            <w:pPr>
              <w:pStyle w:val="2"/>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图2-3  项目水平衡图    单位：t/a</w:t>
            </w: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ind w:left="0" w:leftChars="0" w:firstLine="0" w:firstLineChars="0"/>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widowControl/>
              <w:jc w:val="center"/>
              <w:rPr>
                <w:rFonts w:hint="default" w:ascii="Times New Roman" w:hAnsi="Times New Roman" w:cs="Times New Roman"/>
                <w:color w:val="000000" w:themeColor="text1"/>
                <w14:textFill>
                  <w14:solidFill>
                    <w14:schemeClr w14:val="tx1"/>
                  </w14:solidFill>
                </w14:textFill>
              </w:rPr>
            </w:pPr>
          </w:p>
          <w:p>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6" w:hRule="atLeast"/>
        </w:trPr>
        <w:tc>
          <w:tcPr>
            <w:tcW w:w="9764" w:type="dxa"/>
            <w:noWrap w:val="0"/>
            <w:vAlign w:val="top"/>
          </w:tcPr>
          <w:p>
            <w:pPr>
              <w:spacing w:line="360" w:lineRule="auto"/>
              <w:rPr>
                <w:rFonts w:hint="default" w:ascii="Times New Roman" w:hAnsi="Times New Roman" w:cs="Times New Roman"/>
                <w:b/>
                <w:bCs/>
                <w:color w:val="000000" w:themeColor="text1"/>
                <w:sz w:val="28"/>
                <w:szCs w:val="32"/>
                <w14:textFill>
                  <w14:solidFill>
                    <w14:schemeClr w14:val="tx1"/>
                  </w14:solidFill>
                </w14:textFill>
              </w:rPr>
            </w:pPr>
            <w:r>
              <w:rPr>
                <w:rFonts w:hint="default" w:ascii="Times New Roman" w:hAnsi="Times New Roman" w:cs="Times New Roman"/>
                <w:b/>
                <w:bCs/>
                <w:color w:val="000000" w:themeColor="text1"/>
                <w:sz w:val="28"/>
                <w:szCs w:val="32"/>
                <w14:textFill>
                  <w14:solidFill>
                    <w14:schemeClr w14:val="tx1"/>
                  </w14:solidFill>
                </w14:textFill>
              </w:rPr>
              <w:t>主要工艺流程及产污环节</w:t>
            </w:r>
          </w:p>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5878830" cy="1776730"/>
                  <wp:effectExtent l="0" t="0" r="7620" b="13970"/>
                  <wp:docPr id="52" name="图片 27" descr="微信截图_20190409225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微信截图_20190409225444.png"/>
                          <pic:cNvPicPr>
                            <a:picLocks noChangeAspect="1"/>
                          </pic:cNvPicPr>
                        </pic:nvPicPr>
                        <pic:blipFill>
                          <a:blip r:embed="rId11" cstate="print"/>
                          <a:stretch>
                            <a:fillRect/>
                          </a:stretch>
                        </pic:blipFill>
                        <pic:spPr>
                          <a:xfrm>
                            <a:off x="0" y="0"/>
                            <a:ext cx="5878830" cy="1776730"/>
                          </a:xfrm>
                          <a:prstGeom prst="rect">
                            <a:avLst/>
                          </a:prstGeom>
                        </pic:spPr>
                      </pic:pic>
                    </a:graphicData>
                  </a:graphic>
                </wp:inline>
              </w:drawing>
            </w:r>
          </w:p>
          <w:p>
            <w:pPr>
              <w:widowControl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图2-4  生产工艺流程图</w:t>
            </w:r>
          </w:p>
          <w:p>
            <w:pPr>
              <w:spacing w:line="360" w:lineRule="auto"/>
              <w:ind w:firstLine="482" w:firstLineChars="200"/>
              <w:rPr>
                <w:rFonts w:hint="default" w:ascii="Times New Roman" w:hAnsi="Times New Roman" w:cs="Times New Roman"/>
                <w:b/>
                <w:bCs/>
                <w:color w:val="000000" w:themeColor="text1"/>
                <w:sz w:val="24"/>
                <w:szCs w:val="20"/>
                <w14:textFill>
                  <w14:solidFill>
                    <w14:schemeClr w14:val="tx1"/>
                  </w14:solidFill>
                </w14:textFill>
              </w:rPr>
            </w:pPr>
            <w:r>
              <w:rPr>
                <w:rFonts w:hint="default" w:ascii="Times New Roman" w:hAnsi="Times New Roman" w:cs="Times New Roman"/>
                <w:b/>
                <w:bCs/>
                <w:color w:val="000000" w:themeColor="text1"/>
                <w:sz w:val="24"/>
                <w:szCs w:val="20"/>
                <w14:textFill>
                  <w14:solidFill>
                    <w14:schemeClr w14:val="tx1"/>
                  </w14:solidFill>
                </w14:textFill>
              </w:rPr>
              <w:t>主要流程简述：</w:t>
            </w:r>
          </w:p>
          <w:p>
            <w:pPr>
              <w:adjustRightInd w:val="0"/>
              <w:snapToGrid w:val="0"/>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14:textFill>
                  <w14:solidFill>
                    <w14:schemeClr w14:val="tx1"/>
                  </w14:solidFill>
                </w14:textFill>
              </w:rPr>
              <w:t>1、将外购的铁件按客户预订要求的规格尺寸进行切割；</w:t>
            </w:r>
          </w:p>
          <w:p>
            <w:pPr>
              <w:adjustRightInd w:val="0"/>
              <w:snapToGrid w:val="0"/>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14:textFill>
                  <w14:solidFill>
                    <w14:schemeClr w14:val="tx1"/>
                  </w14:solidFill>
                </w14:textFill>
              </w:rPr>
              <w:t>2、将切割好的楼梯扶手（半成品）放入喷粉房中进行表面粉末喷涂；</w:t>
            </w:r>
          </w:p>
          <w:p>
            <w:pPr>
              <w:adjustRightInd w:val="0"/>
              <w:snapToGrid w:val="0"/>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14:textFill>
                  <w14:solidFill>
                    <w14:schemeClr w14:val="tx1"/>
                  </w14:solidFill>
                </w14:textFill>
              </w:rPr>
              <w:t>3、将完成喷粉后的楼梯扶手送至电烤箱中烘干，烘干时间约10min，然后组装并出售。</w:t>
            </w: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p>
          <w:p>
            <w:pPr>
              <w:widowControl w:val="0"/>
              <w:spacing w:before="0" w:line="360" w:lineRule="auto"/>
              <w:ind w:firstLine="0" w:firstLineChars="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p>
        </w:tc>
      </w:tr>
    </w:tbl>
    <w:p>
      <w:pPr>
        <w:spacing w:line="276" w:lineRule="auto"/>
        <w:jc w:val="left"/>
        <w:outlineLvl w:val="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bookmarkStart w:id="4" w:name="_Toc9157"/>
      <w:bookmarkStart w:id="5" w:name="_Toc15604"/>
      <w:r>
        <w:rPr>
          <w:rFonts w:hint="default" w:ascii="Times New Roman" w:hAnsi="Times New Roman" w:cs="Times New Roman"/>
          <w:b/>
          <w:color w:val="000000" w:themeColor="text1"/>
          <w:sz w:val="28"/>
          <w:szCs w:val="28"/>
          <w14:textFill>
            <w14:solidFill>
              <w14:schemeClr w14:val="tx1"/>
            </w14:solidFill>
          </w14:textFill>
        </w:rPr>
        <w:t xml:space="preserve">表三 </w:t>
      </w:r>
      <w:r>
        <w:rPr>
          <w:rFonts w:hint="default" w:ascii="Times New Roman" w:hAnsi="Times New Roman" w:cs="Times New Roman"/>
          <w:b/>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主要污染源、污染物处理和排放</w:t>
      </w:r>
      <w:bookmarkEnd w:id="4"/>
      <w:bookmarkEnd w:id="5"/>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9" w:hRule="atLeast"/>
          <w:jc w:val="center"/>
        </w:trPr>
        <w:tc>
          <w:tcPr>
            <w:tcW w:w="9648" w:type="dxa"/>
            <w:noWrap w:val="0"/>
            <w:vAlign w:val="top"/>
          </w:tcPr>
          <w:p>
            <w:pPr>
              <w:numPr>
                <w:ilvl w:val="0"/>
                <w:numId w:val="6"/>
              </w:numPr>
              <w:spacing w:line="360" w:lineRule="auto"/>
              <w:ind w:left="990" w:hanging="45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废水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本项目在运营期间生产过程中无生产废水排放，排放的废水为员工的生活废水。</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0"/>
                <w:lang w:val="en-GB"/>
                <w14:textFill>
                  <w14:solidFill>
                    <w14:schemeClr w14:val="tx1"/>
                  </w14:solidFill>
                </w14:textFill>
              </w:rPr>
              <w:t>本项目员工拟定</w:t>
            </w:r>
            <w:r>
              <w:rPr>
                <w:rFonts w:hint="default" w:ascii="Times New Roman" w:hAnsi="Times New Roman" w:cs="Times New Roman"/>
                <w:color w:val="000000" w:themeColor="text1"/>
                <w:sz w:val="24"/>
                <w:szCs w:val="20"/>
                <w14:textFill>
                  <w14:solidFill>
                    <w14:schemeClr w14:val="tx1"/>
                  </w14:solidFill>
                </w14:textFill>
              </w:rPr>
              <w:t>4</w:t>
            </w:r>
            <w:r>
              <w:rPr>
                <w:rFonts w:hint="default" w:ascii="Times New Roman" w:hAnsi="Times New Roman" w:cs="Times New Roman"/>
                <w:color w:val="000000" w:themeColor="text1"/>
                <w:sz w:val="24"/>
                <w:szCs w:val="20"/>
                <w:lang w:val="en-GB"/>
                <w14:textFill>
                  <w14:solidFill>
                    <w14:schemeClr w14:val="tx1"/>
                  </w14:solidFill>
                </w14:textFill>
              </w:rPr>
              <w:t>人，工作天数为</w:t>
            </w:r>
            <w:r>
              <w:rPr>
                <w:rFonts w:hint="default" w:ascii="Times New Roman" w:hAnsi="Times New Roman" w:cs="Times New Roman"/>
                <w:color w:val="000000" w:themeColor="text1"/>
                <w:sz w:val="24"/>
                <w:szCs w:val="20"/>
                <w14:textFill>
                  <w14:solidFill>
                    <w14:schemeClr w14:val="tx1"/>
                  </w14:solidFill>
                </w14:textFill>
              </w:rPr>
              <w:t>30</w:t>
            </w:r>
            <w:r>
              <w:rPr>
                <w:rFonts w:hint="default" w:ascii="Times New Roman" w:hAnsi="Times New Roman" w:cs="Times New Roman"/>
                <w:color w:val="000000" w:themeColor="text1"/>
                <w:sz w:val="24"/>
                <w:szCs w:val="20"/>
                <w:lang w:val="en-GB"/>
                <w14:textFill>
                  <w14:solidFill>
                    <w14:schemeClr w14:val="tx1"/>
                  </w14:solidFill>
                </w14:textFill>
              </w:rPr>
              <w:t>0天，每天工作8小时，均不在厂内食宿。</w:t>
            </w:r>
            <w:r>
              <w:rPr>
                <w:rFonts w:hint="default" w:ascii="Times New Roman" w:hAnsi="Times New Roman" w:cs="Times New Roman"/>
                <w:color w:val="000000" w:themeColor="text1"/>
                <w:sz w:val="24"/>
                <w:szCs w:val="20"/>
                <w14:textFill>
                  <w14:solidFill>
                    <w14:schemeClr w14:val="tx1"/>
                  </w14:solidFill>
                </w14:textFill>
              </w:rPr>
              <w:t>根据《</w:t>
            </w:r>
            <w:r>
              <w:rPr>
                <w:rFonts w:hint="default" w:ascii="Times New Roman" w:hAnsi="Times New Roman" w:cs="Times New Roman"/>
                <w:bCs/>
                <w:color w:val="000000" w:themeColor="text1"/>
                <w:sz w:val="24"/>
                <w:szCs w:val="20"/>
                <w14:textFill>
                  <w14:solidFill>
                    <w14:schemeClr w14:val="tx1"/>
                  </w14:solidFill>
                </w14:textFill>
              </w:rPr>
              <w:t>广东省用水定额</w:t>
            </w:r>
            <w:r>
              <w:rPr>
                <w:rFonts w:hint="default" w:ascii="Times New Roman" w:hAnsi="Times New Roman" w:cs="Times New Roman"/>
                <w:color w:val="000000" w:themeColor="text1"/>
                <w:sz w:val="24"/>
                <w:szCs w:val="20"/>
                <w14:textFill>
                  <w14:solidFill>
                    <w14:schemeClr w14:val="tx1"/>
                  </w14:solidFill>
                </w14:textFill>
              </w:rPr>
              <w:t>》，办公人员用水量按40L/人·d计算，则项目生活用水量约为48t/a（0.16t/d）。</w:t>
            </w:r>
            <w:r>
              <w:rPr>
                <w:rFonts w:hint="default" w:ascii="Times New Roman" w:hAnsi="Times New Roman" w:cs="Times New Roman"/>
                <w:color w:val="000000" w:themeColor="text1"/>
                <w:sz w:val="24"/>
                <w:szCs w:val="20"/>
                <w:lang w:val="en-GB"/>
                <w14:textFill>
                  <w14:solidFill>
                    <w14:schemeClr w14:val="tx1"/>
                  </w14:solidFill>
                </w14:textFill>
              </w:rPr>
              <w:t>污水排放量按用水量的90%计算，则年生活污水排放量为</w:t>
            </w:r>
            <w:r>
              <w:rPr>
                <w:rFonts w:hint="default" w:ascii="Times New Roman" w:hAnsi="Times New Roman" w:cs="Times New Roman"/>
                <w:color w:val="000000" w:themeColor="text1"/>
                <w:sz w:val="24"/>
                <w:szCs w:val="20"/>
                <w14:textFill>
                  <w14:solidFill>
                    <w14:schemeClr w14:val="tx1"/>
                  </w14:solidFill>
                </w14:textFill>
              </w:rPr>
              <w:t>43.2</w:t>
            </w:r>
            <w:r>
              <w:rPr>
                <w:rFonts w:hint="default" w:ascii="Times New Roman" w:hAnsi="Times New Roman" w:cs="Times New Roman"/>
                <w:color w:val="000000" w:themeColor="text1"/>
                <w:sz w:val="24"/>
                <w:szCs w:val="20"/>
                <w:lang w:val="en-GB"/>
                <w14:textFill>
                  <w14:solidFill>
                    <w14:schemeClr w14:val="tx1"/>
                  </w14:solidFill>
                </w14:textFill>
              </w:rPr>
              <w:t>t/a（</w:t>
            </w:r>
            <w:r>
              <w:rPr>
                <w:rFonts w:hint="default" w:ascii="Times New Roman" w:hAnsi="Times New Roman" w:cs="Times New Roman"/>
                <w:color w:val="000000" w:themeColor="text1"/>
                <w:sz w:val="24"/>
                <w:szCs w:val="20"/>
                <w14:textFill>
                  <w14:solidFill>
                    <w14:schemeClr w14:val="tx1"/>
                  </w14:solidFill>
                </w14:textFill>
              </w:rPr>
              <w:t>0.144</w:t>
            </w:r>
            <w:r>
              <w:rPr>
                <w:rFonts w:hint="default" w:ascii="Times New Roman" w:hAnsi="Times New Roman" w:cs="Times New Roman"/>
                <w:color w:val="000000" w:themeColor="text1"/>
                <w:sz w:val="24"/>
                <w:szCs w:val="20"/>
                <w:lang w:val="en-GB"/>
                <w14:textFill>
                  <w14:solidFill>
                    <w14:schemeClr w14:val="tx1"/>
                  </w14:solidFill>
                </w14:textFill>
              </w:rPr>
              <w:t>t/d）。</w:t>
            </w:r>
          </w:p>
          <w:p>
            <w:pPr>
              <w:numPr>
                <w:ilvl w:val="0"/>
                <w:numId w:val="6"/>
              </w:numPr>
              <w:ind w:left="990" w:hanging="45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废气</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本项目主要大气污染物为切割粉尘、喷粉粉尘以及固化工序产生的有机废气。</w:t>
            </w:r>
          </w:p>
          <w:p>
            <w:pPr>
              <w:spacing w:line="36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lang w:val="en-GB"/>
                <w14:textFill>
                  <w14:solidFill>
                    <w14:schemeClr w14:val="tx1"/>
                  </w14:solidFill>
                </w14:textFill>
              </w:rPr>
              <w:t>（1）切割粉尘</w:t>
            </w:r>
          </w:p>
          <w:p>
            <w:pPr>
              <w:spacing w:line="360" w:lineRule="auto"/>
              <w:ind w:firstLine="480" w:firstLineChars="200"/>
              <w:rPr>
                <w:rFonts w:hint="default" w:ascii="Times New Roman" w:hAnsi="Times New Roman" w:cs="Times New Roman"/>
                <w:color w:val="000000" w:themeColor="text1"/>
                <w:sz w:val="24"/>
                <w:szCs w:val="20"/>
                <w:lang w:val="en-GB"/>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本项目对铁件等金属结构切割时会产生过少量粉尘，由于粉尘量很少</w:t>
            </w:r>
            <w:r>
              <w:rPr>
                <w:rFonts w:hint="default" w:ascii="Times New Roman" w:hAnsi="Times New Roman" w:cs="Times New Roman"/>
                <w:color w:val="000000" w:themeColor="text1"/>
                <w:sz w:val="24"/>
                <w:szCs w:val="20"/>
                <w:lang w:val="en-GB"/>
                <w14:textFill>
                  <w14:solidFill>
                    <w14:schemeClr w14:val="tx1"/>
                  </w14:solidFill>
                </w14:textFill>
              </w:rPr>
              <w:t>，且成分为金属颗粒，以无组织形式排放，受重力作用下能够沉降至车间地面收集处理。</w:t>
            </w:r>
          </w:p>
          <w:p>
            <w:pPr>
              <w:spacing w:line="360" w:lineRule="auto"/>
              <w:ind w:firstLine="480" w:firstLineChars="200"/>
              <w:rPr>
                <w:rFonts w:hint="default" w:ascii="Times New Roman" w:hAnsi="Times New Roman" w:cs="Times New Roman"/>
                <w:color w:val="000000" w:themeColor="text1"/>
                <w:sz w:val="24"/>
                <w:szCs w:val="20"/>
                <w:lang w:val="en-GB"/>
                <w14:textFill>
                  <w14:solidFill>
                    <w14:schemeClr w14:val="tx1"/>
                  </w14:solidFill>
                </w14:textFill>
              </w:rPr>
            </w:pPr>
            <w:r>
              <w:rPr>
                <w:rFonts w:hint="default" w:ascii="Times New Roman" w:hAnsi="Times New Roman" w:cs="Times New Roman"/>
                <w:color w:val="000000" w:themeColor="text1"/>
                <w:sz w:val="24"/>
                <w:szCs w:val="20"/>
                <w:lang w:val="en-GB"/>
                <w14:textFill>
                  <w14:solidFill>
                    <w14:schemeClr w14:val="tx1"/>
                  </w14:solidFill>
                </w14:textFill>
              </w:rPr>
              <w:t>（2）喷粉粉尘</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0"/>
                <w:lang w:val="en-GB"/>
                <w14:textFill>
                  <w14:solidFill>
                    <w14:schemeClr w14:val="tx1"/>
                  </w14:solidFill>
                </w14:textFill>
              </w:rPr>
              <w:t>本项目喷粉工序在喷粉房内进行，喷粉过程会产生一定量的粉尘。喷塑过程中粉末在工件上的附着率为60%，其余40%的粉末经过滤除尘器处理，根据本项目喷涂粉用量为2t/a，废气收集效率为9</w:t>
            </w:r>
            <w:r>
              <w:rPr>
                <w:rFonts w:hint="default" w:ascii="Times New Roman" w:hAnsi="Times New Roman" w:cs="Times New Roman"/>
                <w:color w:val="000000" w:themeColor="text1"/>
                <w:sz w:val="24"/>
                <w:szCs w:val="20"/>
                <w14:textFill>
                  <w14:solidFill>
                    <w14:schemeClr w14:val="tx1"/>
                  </w14:solidFill>
                </w14:textFill>
              </w:rPr>
              <w:t>5</w:t>
            </w:r>
            <w:r>
              <w:rPr>
                <w:rFonts w:hint="default" w:ascii="Times New Roman" w:hAnsi="Times New Roman" w:cs="Times New Roman"/>
                <w:color w:val="000000" w:themeColor="text1"/>
                <w:sz w:val="24"/>
                <w:szCs w:val="20"/>
                <w:lang w:val="en-GB"/>
                <w14:textFill>
                  <w14:solidFill>
                    <w14:schemeClr w14:val="tx1"/>
                  </w14:solidFill>
                </w14:textFill>
              </w:rPr>
              <w:t>%，经处理后的粉尘废气排放量为</w:t>
            </w:r>
            <w:r>
              <w:rPr>
                <w:rFonts w:hint="default" w:ascii="Times New Roman" w:hAnsi="Times New Roman" w:cs="Times New Roman"/>
                <w:bCs/>
                <w:color w:val="000000" w:themeColor="text1"/>
                <w:sz w:val="24"/>
                <w:szCs w:val="24"/>
                <w14:textFill>
                  <w14:solidFill>
                    <w14:schemeClr w14:val="tx1"/>
                  </w14:solidFill>
                </w14:textFill>
              </w:rPr>
              <w:t>0.04</w:t>
            </w:r>
            <w:r>
              <w:rPr>
                <w:rFonts w:hint="default" w:ascii="Times New Roman" w:hAnsi="Times New Roman" w:cs="Times New Roman"/>
                <w:color w:val="000000" w:themeColor="text1"/>
                <w:sz w:val="24"/>
                <w:szCs w:val="20"/>
                <w:lang w:val="en-GB"/>
                <w14:textFill>
                  <w14:solidFill>
                    <w14:schemeClr w14:val="tx1"/>
                  </w14:solidFill>
                </w14:textFill>
              </w:rPr>
              <w:t>t/a</w:t>
            </w:r>
            <w:r>
              <w:rPr>
                <w:rFonts w:hint="default" w:ascii="Times New Roman" w:hAnsi="Times New Roman" w:cs="Times New Roman"/>
                <w:bCs/>
                <w:color w:val="000000" w:themeColor="text1"/>
                <w:sz w:val="24"/>
                <w:szCs w:val="24"/>
                <w14:textFill>
                  <w14:solidFill>
                    <w14:schemeClr w14:val="tx1"/>
                  </w14:solidFill>
                </w14:textFill>
              </w:rPr>
              <w:t>，排放速率为0.017kg/h，以无组织形式排放</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（3）固化工序有机废气</w:t>
            </w:r>
          </w:p>
          <w:p>
            <w:pPr>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本项目喷涂粉末高温固化工序喷涂粉末中有机成分挥发，产生少量的VOCs废气。塑粉中的环氧树脂分子量较大，在180~220°C时不挥发。塑粉在高温下挥发的有机成分主要为固化剂、流平剂、增光剂等含有小分子的助剂，助剂占塑粉总量的10%，助剂中的50%有机成分在高温下挥发。</w:t>
            </w:r>
          </w:p>
          <w:p>
            <w:pPr>
              <w:pStyle w:val="2"/>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cs="Times New Roman"/>
                <w:color w:val="000000" w:themeColor="text1"/>
                <w:sz w:val="24"/>
                <w:szCs w:val="20"/>
                <w:lang w:val="en-GB"/>
                <w14:textFill>
                  <w14:solidFill>
                    <w14:schemeClr w14:val="tx1"/>
                  </w14:solidFill>
                </w14:textFill>
              </w:rPr>
              <w:t>项目喷涂粉用量为2t/a</w:t>
            </w:r>
            <w:r>
              <w:rPr>
                <w:rFonts w:hint="default" w:ascii="Times New Roman" w:hAnsi="Times New Roman" w:cs="Times New Roman"/>
                <w:bCs/>
                <w:color w:val="000000" w:themeColor="text1"/>
                <w:sz w:val="24"/>
                <w:szCs w:val="24"/>
                <w14:textFill>
                  <w14:solidFill>
                    <w14:schemeClr w14:val="tx1"/>
                  </w14:solidFill>
                </w14:textFill>
              </w:rPr>
              <w:t>，总VOCs产生量为0.1t/a，</w:t>
            </w:r>
            <w:r>
              <w:rPr>
                <w:rFonts w:hint="default" w:ascii="Times New Roman" w:hAnsi="Times New Roman" w:cs="Times New Roman"/>
                <w:color w:val="000000" w:themeColor="text1"/>
                <w:kern w:val="0"/>
                <w:sz w:val="24"/>
                <w:szCs w:val="24"/>
                <w14:textFill>
                  <w14:solidFill>
                    <w14:schemeClr w14:val="tx1"/>
                  </w14:solidFill>
                </w14:textFill>
              </w:rPr>
              <w:t>产生速率为0.0417kg/h，废气经集气罩收集和UV光解装置处理后</w:t>
            </w:r>
            <w:r>
              <w:rPr>
                <w:rFonts w:hint="eastAsia" w:ascii="Times New Roman" w:cs="Times New Roman"/>
                <w:color w:val="000000" w:themeColor="text1"/>
                <w:kern w:val="0"/>
                <w:sz w:val="24"/>
                <w:szCs w:val="24"/>
                <w:lang w:eastAsia="zh-CN"/>
                <w14:textFill>
                  <w14:solidFill>
                    <w14:schemeClr w14:val="tx1"/>
                  </w14:solidFill>
                </w14:textFill>
              </w:rPr>
              <w:t>7m高</w:t>
            </w:r>
            <w:r>
              <w:rPr>
                <w:rFonts w:hint="default" w:ascii="Times New Roman" w:hAnsi="Times New Roman" w:cs="Times New Roman"/>
                <w:color w:val="000000" w:themeColor="text1"/>
                <w:kern w:val="0"/>
                <w:sz w:val="24"/>
                <w:szCs w:val="24"/>
                <w14:textFill>
                  <w14:solidFill>
                    <w14:schemeClr w14:val="tx1"/>
                  </w14:solidFill>
                </w14:textFill>
              </w:rPr>
              <w:t>排气筒高空排放，收集效率为90%，处理效率为95%，风量按5000</w:t>
            </w:r>
            <w:r>
              <w:rPr>
                <w:rFonts w:hint="default" w:ascii="Times New Roman" w:hAnsi="Times New Roman" w:cs="Times New Roman"/>
                <w:color w:val="000000" w:themeColor="text1"/>
                <w:sz w:val="24"/>
                <w:szCs w:val="22"/>
                <w:lang w:val="en-GB"/>
                <w14:textFill>
                  <w14:solidFill>
                    <w14:schemeClr w14:val="tx1"/>
                  </w14:solidFill>
                </w14:textFill>
              </w:rPr>
              <w:t>m</w:t>
            </w:r>
            <w:r>
              <w:rPr>
                <w:rFonts w:hint="default" w:ascii="Times New Roman" w:hAnsi="Times New Roman" w:cs="Times New Roman"/>
                <w:color w:val="000000" w:themeColor="text1"/>
                <w:sz w:val="24"/>
                <w:szCs w:val="22"/>
                <w:vertAlign w:val="superscript"/>
                <w:lang w:val="en-GB"/>
                <w14:textFill>
                  <w14:solidFill>
                    <w14:schemeClr w14:val="tx1"/>
                  </w14:solidFill>
                </w14:textFill>
              </w:rPr>
              <w:t>3</w:t>
            </w:r>
            <w:r>
              <w:rPr>
                <w:rFonts w:hint="default" w:ascii="Times New Roman" w:hAnsi="Times New Roman" w:cs="Times New Roman"/>
                <w:color w:val="000000" w:themeColor="text1"/>
                <w:sz w:val="24"/>
                <w:szCs w:val="22"/>
                <w:lang w:val="en-GB"/>
                <w14:textFill>
                  <w14:solidFill>
                    <w14:schemeClr w14:val="tx1"/>
                  </w14:solidFill>
                </w14:textFill>
              </w:rPr>
              <w:t>/h计，有组织的VOCs排放量为</w:t>
            </w:r>
            <w:r>
              <w:rPr>
                <w:rFonts w:hint="default" w:ascii="Times New Roman" w:hAnsi="Times New Roman" w:cs="Times New Roman"/>
                <w:color w:val="000000" w:themeColor="text1"/>
                <w:sz w:val="24"/>
                <w:szCs w:val="22"/>
                <w14:textFill>
                  <w14:solidFill>
                    <w14:schemeClr w14:val="tx1"/>
                  </w14:solidFill>
                </w14:textFill>
              </w:rPr>
              <w:t>4</w:t>
            </w:r>
            <w:r>
              <w:rPr>
                <w:rFonts w:hint="default" w:ascii="Times New Roman" w:hAnsi="Times New Roman" w:cs="Times New Roman"/>
                <w:color w:val="000000" w:themeColor="text1"/>
                <w:sz w:val="24"/>
                <w:szCs w:val="22"/>
                <w:lang w:val="en-GB"/>
                <w14:textFill>
                  <w14:solidFill>
                    <w14:schemeClr w14:val="tx1"/>
                  </w14:solidFill>
                </w14:textFill>
              </w:rPr>
              <w:t>.5</w:t>
            </w:r>
            <w:r>
              <w:rPr>
                <w:rFonts w:hint="default" w:ascii="Times New Roman" w:hAnsi="Times New Roman" w:cs="Times New Roman"/>
                <w:color w:val="000000" w:themeColor="text1"/>
                <w:kern w:val="0"/>
                <w:sz w:val="24"/>
                <w:szCs w:val="24"/>
                <w14:textFill>
                  <w14:solidFill>
                    <w14:schemeClr w14:val="tx1"/>
                  </w14:solidFill>
                </w14:textFill>
              </w:rPr>
              <w:t>kg/a</w:t>
            </w:r>
            <w:r>
              <w:rPr>
                <w:rFonts w:hint="default" w:ascii="Times New Roman" w:hAnsi="Times New Roman" w:cs="Times New Roman"/>
                <w:color w:val="000000" w:themeColor="text1"/>
                <w:sz w:val="24"/>
                <w:szCs w:val="22"/>
                <w:lang w:val="en-GB"/>
                <w14:textFill>
                  <w14:solidFill>
                    <w14:schemeClr w14:val="tx1"/>
                  </w14:solidFill>
                </w14:textFill>
              </w:rPr>
              <w:t>（</w:t>
            </w:r>
            <w:r>
              <w:rPr>
                <w:rFonts w:hint="default" w:ascii="Times New Roman" w:hAnsi="Times New Roman" w:cs="Times New Roman"/>
                <w:color w:val="000000" w:themeColor="text1"/>
                <w:sz w:val="24"/>
                <w:szCs w:val="22"/>
                <w14:textFill>
                  <w14:solidFill>
                    <w14:schemeClr w14:val="tx1"/>
                  </w14:solidFill>
                </w14:textFill>
              </w:rPr>
              <w:t>0.0019</w:t>
            </w:r>
            <w:r>
              <w:rPr>
                <w:rFonts w:hint="default" w:ascii="Times New Roman" w:hAnsi="Times New Roman" w:cs="Times New Roman"/>
                <w:color w:val="000000" w:themeColor="text1"/>
                <w:sz w:val="24"/>
                <w:szCs w:val="22"/>
                <w:lang w:val="en-GB"/>
                <w14:textFill>
                  <w14:solidFill>
                    <w14:schemeClr w14:val="tx1"/>
                  </w14:solidFill>
                </w14:textFill>
              </w:rPr>
              <w:t>kg/h）</w:t>
            </w:r>
            <w:r>
              <w:rPr>
                <w:rFonts w:hint="default" w:ascii="Times New Roman" w:hAnsi="Times New Roman" w:cs="Times New Roman"/>
                <w:color w:val="000000" w:themeColor="text1"/>
                <w:sz w:val="24"/>
                <w:szCs w:val="22"/>
                <w:lang w:val="en-US" w:eastAsia="zh-CN"/>
                <w14:textFill>
                  <w14:solidFill>
                    <w14:schemeClr w14:val="tx1"/>
                  </w14:solidFill>
                </w14:textFill>
              </w:rPr>
              <w:t>。</w:t>
            </w: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UV光催化氧化装置工作原理：利用TiO</w:t>
            </w:r>
            <w:r>
              <w:rPr>
                <w:rFonts w:hint="default" w:ascii="Times New Roman" w:hAnsi="Times New Roman" w:eastAsia="宋体" w:cs="Times New Roman"/>
                <w:color w:val="000000" w:themeColor="text1"/>
                <w:kern w:val="2"/>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作为催化剂的光催化过程，反应条件温和，光解迅速，产物为CO</w:t>
            </w:r>
            <w:r>
              <w:rPr>
                <w:rFonts w:hint="default" w:ascii="Times New Roman" w:hAnsi="Times New Roman" w:eastAsia="宋体" w:cs="Times New Roman"/>
                <w:color w:val="000000" w:themeColor="text1"/>
                <w:kern w:val="2"/>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和H</w:t>
            </w:r>
            <w:r>
              <w:rPr>
                <w:rFonts w:hint="default" w:ascii="Times New Roman" w:hAnsi="Times New Roman" w:eastAsia="宋体" w:cs="Times New Roman"/>
                <w:color w:val="000000" w:themeColor="text1"/>
                <w:kern w:val="2"/>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O或其它，而且适用范围广，包括烃、醇、醛、酮、氨等有机物，都能通过TiO</w:t>
            </w:r>
            <w:r>
              <w:rPr>
                <w:rFonts w:hint="default" w:ascii="Times New Roman" w:hAnsi="Times New Roman" w:eastAsia="宋体" w:cs="Times New Roman"/>
                <w:color w:val="000000" w:themeColor="text1"/>
                <w:kern w:val="2"/>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光催化清除</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widowControl w:val="0"/>
              <w:spacing w:before="0" w:line="240" w:lineRule="auto"/>
              <w:ind w:firstLine="562"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8"/>
                <w:szCs w:val="28"/>
                <w:lang w:val="en-US" w:eastAsia="zh-CN" w:bidi="ar-SA"/>
                <w14:textFill>
                  <w14:solidFill>
                    <w14:schemeClr w14:val="tx1"/>
                  </w14:solidFill>
                </w14:textFill>
              </w:rPr>
              <w:t>3、噪声</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项目噪声主要来源于切割设备运行时和运输车辆出入时所产生的噪声，声压级约70-9</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dB（A），通过合理布局、基础减震、距离衰减和绿化吸收等措施进行降噪处理。</w:t>
            </w:r>
          </w:p>
          <w:p>
            <w:pPr>
              <w:spacing w:line="360" w:lineRule="auto"/>
              <w:ind w:left="54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4、固体废物</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项目营运过程主要为厂内员工生活垃圾、边角废料和除尘器收集的粉尘等。</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（1）生活垃圾</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项目员工共4人，均不在厂内食宿</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食宿员工</w:t>
            </w:r>
            <w:r>
              <w:rPr>
                <w:rFonts w:hint="default" w:ascii="Times New Roman" w:hAnsi="Times New Roman" w:cs="Times New Roman"/>
                <w:color w:val="000000" w:themeColor="text1"/>
                <w:sz w:val="24"/>
                <w:szCs w:val="24"/>
                <w14:textFill>
                  <w14:solidFill>
                    <w14:schemeClr w14:val="tx1"/>
                  </w14:solidFill>
                </w14:textFill>
              </w:rPr>
              <w:t>按照每人每天生活垃圾产生量0.5kg计，生活垃圾量为2kg/d（0.6t/a），交由环卫部门清运。</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（2）边角废料</w:t>
            </w:r>
          </w:p>
          <w:p>
            <w:pPr>
              <w:snapToGrid w:val="0"/>
              <w:spacing w:line="360" w:lineRule="auto"/>
              <w:ind w:firstLine="470" w:firstLineChars="196"/>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项目在切割等过程产生一定量的边角废料，其产生量约为0.5t/a，收集后外卖给收购商综合利用。</w:t>
            </w:r>
          </w:p>
          <w:p>
            <w:pPr>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（3）除尘器收集的粉尘</w:t>
            </w:r>
          </w:p>
          <w:p>
            <w:pPr>
              <w:adjustRightInd w:val="0"/>
              <w:snapToGrid w:val="0"/>
              <w:spacing w:line="360" w:lineRule="auto"/>
              <w:ind w:firstLine="472" w:firstLineChars="197"/>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项目过滤除尘器收集的粉尘量为0.72t/a，返回生产工序中重新利用。</w:t>
            </w:r>
          </w:p>
        </w:tc>
      </w:tr>
    </w:tbl>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br w:type="page"/>
      </w:r>
      <w:bookmarkStart w:id="6" w:name="_Toc6612"/>
      <w:bookmarkStart w:id="7" w:name="_Toc6261"/>
      <w:r>
        <w:rPr>
          <w:rFonts w:hint="default" w:ascii="Times New Roman" w:hAnsi="Times New Roman" w:cs="Times New Roman"/>
          <w:b/>
          <w:color w:val="000000" w:themeColor="text1"/>
          <w:sz w:val="30"/>
          <w:szCs w:val="30"/>
          <w14:textFill>
            <w14:solidFill>
              <w14:schemeClr w14:val="tx1"/>
            </w14:solidFill>
          </w14:textFill>
        </w:rPr>
        <w:t>表四  建设项目环境影响报告表主要结论及审批部门审批决定</w:t>
      </w:r>
      <w:bookmarkEnd w:id="6"/>
      <w:bookmarkEnd w:id="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1" w:hRule="atLeast"/>
        </w:trPr>
        <w:tc>
          <w:tcPr>
            <w:tcW w:w="9118"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本项目于201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日取得梅州市梅江区环境保护局《关于</w:t>
            </w:r>
            <w:r>
              <w:rPr>
                <w:rFonts w:hint="default" w:ascii="Times New Roman" w:hAnsi="Times New Roman" w:eastAsia="宋体" w:cs="Times New Roman"/>
                <w:color w:val="000000" w:themeColor="text1"/>
                <w:sz w:val="24"/>
                <w:szCs w:val="24"/>
                <w:lang w:eastAsia="zh-CN"/>
                <w14:textFill>
                  <w14:solidFill>
                    <w14:schemeClr w14:val="tx1"/>
                  </w14:solidFill>
                </w14:textFill>
              </w:rPr>
              <w:t>梅州市佳顺发实业有限公司梅州市佳顺发实业有限公司楼梯扶手生产项目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环境影响报告表审批意见的函》（梅区环建函[201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47</w:t>
            </w:r>
            <w:r>
              <w:rPr>
                <w:rFonts w:hint="default" w:ascii="Times New Roman" w:hAnsi="Times New Roman" w:eastAsia="宋体" w:cs="Times New Roman"/>
                <w:color w:val="000000" w:themeColor="text1"/>
                <w:sz w:val="24"/>
                <w:szCs w:val="24"/>
                <w14:textFill>
                  <w14:solidFill>
                    <w14:schemeClr w14:val="tx1"/>
                  </w14:solidFill>
                </w14:textFill>
              </w:rPr>
              <w:t>号），具体要求如下：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8" w:name="bookmark6"/>
            <w:r>
              <w:rPr>
                <w:rFonts w:hint="default" w:ascii="Times New Roman" w:hAnsi="Times New Roman" w:eastAsia="宋体" w:cs="Times New Roman"/>
                <w:color w:val="000000" w:themeColor="text1"/>
                <w:sz w:val="24"/>
                <w:szCs w:val="24"/>
                <w:lang w:val="zh-TW" w:eastAsia="zh-TW"/>
                <w14:textFill>
                  <w14:solidFill>
                    <w14:schemeClr w14:val="tx1"/>
                  </w14:solidFill>
                </w14:textFill>
              </w:rPr>
              <w:t>一</w:t>
            </w:r>
            <w:bookmarkEnd w:id="8"/>
            <w:r>
              <w:rPr>
                <w:rFonts w:hint="default" w:ascii="Times New Roman" w:hAnsi="Times New Roman" w:eastAsia="宋体" w:cs="Times New Roman"/>
                <w:color w:val="000000" w:themeColor="text1"/>
                <w:sz w:val="24"/>
                <w:szCs w:val="24"/>
                <w:lang w:val="zh-TW" w:eastAsia="zh-TW"/>
                <w14:textFill>
                  <w14:solidFill>
                    <w14:schemeClr w14:val="tx1"/>
                  </w14:solidFill>
                </w14:textFill>
              </w:rPr>
              <w:t>、梅州市佳顺发实业有限公司楼梯扶手生产项目位于梅州市梅江区三角镇梅州金三角旋窑水泥厂有限公司8号楼（地理坐标：</w:t>
            </w:r>
            <w:r>
              <w:rPr>
                <w:rFonts w:hint="default" w:ascii="Times New Roman" w:hAnsi="Times New Roman" w:cs="Times New Roman"/>
                <w:color w:val="000000" w:themeColor="text1"/>
                <w:sz w:val="24"/>
                <w:szCs w:val="24"/>
                <w:lang w:val="zh-TW" w:eastAsia="zh-CN"/>
                <w14:textFill>
                  <w14:solidFill>
                    <w14:schemeClr w14:val="tx1"/>
                  </w14:solidFill>
                </w14:textFill>
              </w:rPr>
              <w:t>东经116°06'47.47"；北纬24°14'01.14"</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项目占地面积约398平方米，建筑面积约398平方米，主要从事金属楼梯扶手加工，建设内容包含切割区、喷粉房、烘干区、成品和原料堆放区等。项目设计生产规模为年加工14吨金属楼梯扶手。项目总投资约20万元，其中环保投资约8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9" w:name="bookmark7"/>
            <w:r>
              <w:rPr>
                <w:rFonts w:hint="default" w:ascii="Times New Roman" w:hAnsi="Times New Roman" w:eastAsia="宋体" w:cs="Times New Roman"/>
                <w:color w:val="000000" w:themeColor="text1"/>
                <w:sz w:val="24"/>
                <w:szCs w:val="24"/>
                <w:lang w:val="zh-TW" w:eastAsia="zh-TW"/>
                <w14:textFill>
                  <w14:solidFill>
                    <w14:schemeClr w14:val="tx1"/>
                  </w14:solidFill>
                </w14:textFill>
              </w:rPr>
              <w:t>二</w:t>
            </w:r>
            <w:bookmarkEnd w:id="9"/>
            <w:r>
              <w:rPr>
                <w:rFonts w:hint="default" w:ascii="Times New Roman" w:hAnsi="Times New Roman" w:eastAsia="宋体" w:cs="Times New Roman"/>
                <w:color w:val="000000" w:themeColor="text1"/>
                <w:sz w:val="24"/>
                <w:szCs w:val="24"/>
                <w:lang w:val="zh-TW" w:eastAsia="zh-TW"/>
                <w14:textFill>
                  <w14:solidFill>
                    <w14:schemeClr w14:val="tx1"/>
                  </w14:solidFill>
                </w14:textFill>
              </w:rPr>
              <w:t>、根据报告表的评价分析和评价结论，在落实污染防治和 环境风险防控措施的前提下，从环境保护角度，原则同意该项目建设。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10" w:name="bookmark8"/>
            <w:r>
              <w:rPr>
                <w:rFonts w:hint="default" w:ascii="Times New Roman" w:hAnsi="Times New Roman" w:eastAsia="宋体" w:cs="Times New Roman"/>
                <w:color w:val="000000" w:themeColor="text1"/>
                <w:sz w:val="24"/>
                <w:szCs w:val="24"/>
                <w:lang w:val="zh-TW" w:eastAsia="zh-TW"/>
                <w14:textFill>
                  <w14:solidFill>
                    <w14:schemeClr w14:val="tx1"/>
                  </w14:solidFill>
                </w14:textFill>
              </w:rPr>
              <w:t>三</w:t>
            </w:r>
            <w:bookmarkEnd w:id="10"/>
            <w:r>
              <w:rPr>
                <w:rFonts w:hint="default" w:ascii="Times New Roman" w:hAnsi="Times New Roman" w:eastAsia="宋体" w:cs="Times New Roman"/>
                <w:color w:val="000000" w:themeColor="text1"/>
                <w:sz w:val="24"/>
                <w:szCs w:val="24"/>
                <w:lang w:val="zh-TW" w:eastAsia="zh-TW"/>
                <w14:textFill>
                  <w14:solidFill>
                    <w14:schemeClr w14:val="tx1"/>
                  </w14:solidFill>
                </w14:textFill>
              </w:rPr>
              <w:t>、项目建设和运营过程中必须严格落实报告表提出的各项污</w:t>
            </w:r>
            <w:r>
              <w:rPr>
                <w:rFonts w:hint="default" w:ascii="Times New Roman" w:hAnsi="Times New Roman" w:cs="Times New Roman"/>
                <w:color w:val="000000" w:themeColor="text1"/>
                <w:sz w:val="24"/>
                <w:szCs w:val="24"/>
                <w:lang w:val="en-US" w:eastAsia="zh-CN"/>
                <w14:textFill>
                  <w14:solidFill>
                    <w14:schemeClr w14:val="tx1"/>
                  </w14:solidFill>
                </w14:textFill>
              </w:rPr>
              <w:t>染</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防治措施,</w:t>
            </w:r>
            <w:r>
              <w:rPr>
                <w:rFonts w:hint="default" w:ascii="Times New Roman" w:hAnsi="Times New Roman" w:cs="Times New Roman"/>
                <w:color w:val="000000" w:themeColor="text1"/>
                <w:sz w:val="24"/>
                <w:szCs w:val="24"/>
                <w:lang w:val="en-US" w:eastAsia="zh-CN"/>
                <w14:textFill>
                  <w14:solidFill>
                    <w14:schemeClr w14:val="tx1"/>
                  </w14:solidFill>
                </w14:textFill>
              </w:rPr>
              <w:t>并</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重点做好以下工作：</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11" w:name="bookmark9"/>
            <w:r>
              <w:rPr>
                <w:rFonts w:hint="default" w:ascii="Times New Roman" w:hAnsi="Times New Roman" w:eastAsia="宋体" w:cs="Times New Roman"/>
                <w:color w:val="000000" w:themeColor="text1"/>
                <w:sz w:val="24"/>
                <w:szCs w:val="24"/>
                <w:lang w:val="zh-CN" w:eastAsia="zh-CN"/>
                <w14:textFill>
                  <w14:solidFill>
                    <w14:schemeClr w14:val="tx1"/>
                  </w14:solidFill>
                </w14:textFill>
              </w:rPr>
              <w:t>1</w:t>
            </w:r>
            <w:bookmarkEnd w:id="11"/>
            <w:r>
              <w:rPr>
                <w:rFonts w:hint="default" w:ascii="Times New Roman" w:hAnsi="Times New Roman" w:eastAsia="宋体" w:cs="Times New Roman"/>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废水：项目无生产废水产生；生活污水经化粪池处理后用于厂区绿化或附近农灌、林灌。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12" w:name="bookmark10"/>
            <w:r>
              <w:rPr>
                <w:rFonts w:hint="default" w:ascii="Times New Roman" w:hAnsi="Times New Roman" w:eastAsia="宋体" w:cs="Times New Roman"/>
                <w:color w:val="000000" w:themeColor="text1"/>
                <w:sz w:val="24"/>
                <w:szCs w:val="24"/>
                <w:lang w:val="zh-TW" w:eastAsia="zh-TW"/>
                <w14:textFill>
                  <w14:solidFill>
                    <w14:schemeClr w14:val="tx1"/>
                  </w14:solidFill>
                </w14:textFill>
              </w:rPr>
              <w:t>2</w:t>
            </w:r>
            <w:bookmarkEnd w:id="12"/>
            <w:r>
              <w:rPr>
                <w:rFonts w:hint="default" w:ascii="Times New Roman" w:hAnsi="Times New Roman" w:eastAsia="宋体" w:cs="Times New Roman"/>
                <w:color w:val="000000" w:themeColor="text1"/>
                <w:sz w:val="24"/>
                <w:szCs w:val="24"/>
                <w:lang w:val="zh-TW" w:eastAsia="zh-TW"/>
                <w14:textFill>
                  <w14:solidFill>
                    <w14:schemeClr w14:val="tx1"/>
                  </w14:solidFill>
                </w14:textFill>
              </w:rPr>
              <w:t>、废气：项目在切割、打磨、喷粉等工序生产过程中产生的粉尘必须采用有效措施尽量减少排放，确保颗粒物无组织排放符合《大气污染物排放限值》</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(DB44/27-2001)</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第二时段无组织排放限值的要求；固化工序有机废气必须经有效收集与处理后通过排气筒高空排放，有机废气排放参照执行《家具制造行业挥发性有 机化合物排放标准》</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(DB44/814-2010)</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第II时段标准。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13" w:name="bookmark11"/>
            <w:r>
              <w:rPr>
                <w:rFonts w:hint="default" w:ascii="Times New Roman" w:hAnsi="Times New Roman" w:eastAsia="宋体" w:cs="Times New Roman"/>
                <w:color w:val="000000" w:themeColor="text1"/>
                <w:sz w:val="24"/>
                <w:szCs w:val="24"/>
                <w:lang w:val="zh-TW" w:eastAsia="zh-TW"/>
                <w14:textFill>
                  <w14:solidFill>
                    <w14:schemeClr w14:val="tx1"/>
                  </w14:solidFill>
                </w14:textFill>
              </w:rPr>
              <w:t>3</w:t>
            </w:r>
            <w:bookmarkEnd w:id="13"/>
            <w:r>
              <w:rPr>
                <w:rFonts w:hint="default" w:ascii="Times New Roman" w:hAnsi="Times New Roman" w:eastAsia="宋体" w:cs="Times New Roman"/>
                <w:color w:val="000000" w:themeColor="text1"/>
                <w:sz w:val="24"/>
                <w:szCs w:val="24"/>
                <w:lang w:val="zh-TW" w:eastAsia="zh-TW"/>
                <w14:textFill>
                  <w14:solidFill>
                    <w14:schemeClr w14:val="tx1"/>
                  </w14:solidFill>
                </w14:textFill>
              </w:rPr>
              <w:t>、噪声：项目应釆取选用低噪设备，合理布置噪声源，并对噪声较大设备釆取减振、隔声等合理有效的降噪措施，同时控制作业时间，防止噪声扰民。项目边界噪声排放执行《工业企业厂 界环境噪声排放标准》</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(GB12348-2008)</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2类标准。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14" w:name="bookmark12"/>
            <w:r>
              <w:rPr>
                <w:rFonts w:hint="default" w:ascii="Times New Roman" w:hAnsi="Times New Roman" w:eastAsia="宋体" w:cs="Times New Roman"/>
                <w:color w:val="000000" w:themeColor="text1"/>
                <w:sz w:val="24"/>
                <w:szCs w:val="24"/>
                <w:lang w:val="zh-TW" w:eastAsia="zh-TW"/>
                <w14:textFill>
                  <w14:solidFill>
                    <w14:schemeClr w14:val="tx1"/>
                  </w14:solidFill>
                </w14:textFill>
              </w:rPr>
              <w:t>4</w:t>
            </w:r>
            <w:bookmarkEnd w:id="14"/>
            <w:r>
              <w:rPr>
                <w:rFonts w:hint="default" w:ascii="Times New Roman" w:hAnsi="Times New Roman" w:eastAsia="宋体" w:cs="Times New Roman"/>
                <w:color w:val="000000" w:themeColor="text1"/>
                <w:sz w:val="24"/>
                <w:szCs w:val="24"/>
                <w:lang w:val="zh-TW" w:eastAsia="zh-TW"/>
                <w14:textFill>
                  <w14:solidFill>
                    <w14:schemeClr w14:val="tx1"/>
                  </w14:solidFill>
                </w14:textFill>
              </w:rPr>
              <w:t>、固体废物：项目金属边角料和粉尘收集后外卖给收购商综合利用；喷粉工序收集的粉尘回用于生产；生活垃圾交由环卫部门处理。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zh-TW" w:eastAsia="zh-TW"/>
                <w14:textFill>
                  <w14:solidFill>
                    <w14:schemeClr w14:val="tx1"/>
                  </w14:solidFill>
                </w14:textFill>
              </w:rPr>
            </w:pPr>
            <w:bookmarkStart w:id="15" w:name="bookmark13"/>
            <w:r>
              <w:rPr>
                <w:rFonts w:hint="default" w:ascii="Times New Roman" w:hAnsi="Times New Roman" w:eastAsia="宋体" w:cs="Times New Roman"/>
                <w:color w:val="000000" w:themeColor="text1"/>
                <w:sz w:val="24"/>
                <w:szCs w:val="24"/>
                <w:lang w:val="zh-TW" w:eastAsia="zh-TW"/>
                <w14:textFill>
                  <w14:solidFill>
                    <w14:schemeClr w14:val="tx1"/>
                  </w14:solidFill>
                </w14:textFill>
              </w:rPr>
              <w:t>四</w:t>
            </w:r>
            <w:bookmarkEnd w:id="15"/>
            <w:r>
              <w:rPr>
                <w:rFonts w:hint="default" w:ascii="Times New Roman" w:hAnsi="Times New Roman" w:eastAsia="宋体" w:cs="Times New Roman"/>
                <w:color w:val="000000" w:themeColor="text1"/>
                <w:sz w:val="24"/>
                <w:szCs w:val="24"/>
                <w:lang w:val="zh-TW" w:eastAsia="zh-TW"/>
                <w14:textFill>
                  <w14:solidFill>
                    <w14:schemeClr w14:val="tx1"/>
                  </w14:solidFill>
                </w14:textFill>
              </w:rPr>
              <w:t>、若项目的性质、规模、地点、使用功能、排污状况、釆用的生产工艺或者防止污染的措施发生重大变动，你单位应当重新报批项目环评文件。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6" w:name="bookmark14"/>
            <w:r>
              <w:rPr>
                <w:rFonts w:hint="default" w:ascii="Times New Roman" w:hAnsi="Times New Roman" w:eastAsia="宋体" w:cs="Times New Roman"/>
                <w:color w:val="000000" w:themeColor="text1"/>
                <w:sz w:val="24"/>
                <w:szCs w:val="24"/>
                <w:lang w:val="zh-TW" w:eastAsia="zh-TW"/>
                <w14:textFill>
                  <w14:solidFill>
                    <w14:schemeClr w14:val="tx1"/>
                  </w14:solidFill>
                </w14:textFill>
              </w:rPr>
              <w:t>五</w:t>
            </w:r>
            <w:bookmarkEnd w:id="16"/>
            <w:r>
              <w:rPr>
                <w:rFonts w:hint="default" w:ascii="Times New Roman" w:hAnsi="Times New Roman" w:eastAsia="宋体" w:cs="Times New Roman"/>
                <w:color w:val="000000" w:themeColor="text1"/>
                <w:sz w:val="24"/>
                <w:szCs w:val="24"/>
                <w:lang w:val="zh-TW" w:eastAsia="zh-TW"/>
                <w14:textFill>
                  <w14:solidFill>
                    <w14:schemeClr w14:val="tx1"/>
                  </w14:solidFill>
                </w14:textFill>
              </w:rPr>
              <w:t>、项目建设应严格执行配套建设的环境保护设施与主体工程同时设计、同时施工、同时投入使用。项目建成后，你单位应按《国务院关于修改〈建设项目环境保护管理条例〉的决定》(国令第682号)要求，做好环境保护验收工作。</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p>
        </w:tc>
      </w:tr>
    </w:tbl>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bookmarkStart w:id="17" w:name="_Toc15399"/>
      <w:r>
        <w:rPr>
          <w:rFonts w:hint="default" w:ascii="Times New Roman" w:hAnsi="Times New Roman" w:cs="Times New Roman"/>
          <w:b/>
          <w:color w:val="000000" w:themeColor="text1"/>
          <w:sz w:val="30"/>
          <w:szCs w:val="30"/>
          <w14:textFill>
            <w14:solidFill>
              <w14:schemeClr w14:val="tx1"/>
            </w14:solidFill>
          </w14:textFill>
        </w:rPr>
        <w:br w:type="page"/>
      </w:r>
      <w:bookmarkStart w:id="18" w:name="_Toc25736"/>
      <w:bookmarkStart w:id="19" w:name="_Toc15980"/>
      <w:r>
        <w:rPr>
          <w:rFonts w:hint="default" w:ascii="Times New Roman" w:hAnsi="Times New Roman" w:cs="Times New Roman"/>
          <w:b/>
          <w:color w:val="000000" w:themeColor="text1"/>
          <w:sz w:val="30"/>
          <w:szCs w:val="30"/>
          <w14:textFill>
            <w14:solidFill>
              <w14:schemeClr w14:val="tx1"/>
            </w14:solidFill>
          </w14:textFill>
        </w:rPr>
        <w:t>表五  验收监测质量保证及质量控制</w:t>
      </w:r>
      <w:bookmarkEnd w:id="17"/>
      <w:bookmarkEnd w:id="18"/>
      <w:bookmarkEnd w:id="19"/>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0" w:hRule="atLeast"/>
          <w:jc w:val="center"/>
        </w:trPr>
        <w:tc>
          <w:tcPr>
            <w:tcW w:w="8924" w:type="dxa"/>
          </w:tcPr>
          <w:p>
            <w:pPr>
              <w:pStyle w:val="15"/>
              <w:spacing w:before="63" w:beforeLines="20" w:line="360" w:lineRule="auto"/>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1、监测分析方法</w:t>
            </w:r>
          </w:p>
          <w:p>
            <w:pPr>
              <w:pStyle w:val="15"/>
              <w:spacing w:before="63" w:beforeLines="20"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本项目验收监测采样方法、监测分析方法、监测质量保证和质量控制要求均按照《排污单位自行监测技术指南 总则》（HJ 819）执行，其中</w:t>
            </w:r>
            <w:r>
              <w:rPr>
                <w:rFonts w:hint="default" w:ascii="Times New Roman" w:hAnsi="Times New Roman" w:cs="Times New Roman"/>
                <w:bCs/>
                <w:snapToGrid w:val="0"/>
                <w:color w:val="000000" w:themeColor="text1"/>
                <w:sz w:val="24"/>
                <w:szCs w:val="24"/>
                <w14:textFill>
                  <w14:solidFill>
                    <w14:schemeClr w14:val="tx1"/>
                  </w14:solidFill>
                </w14:textFill>
              </w:rPr>
              <w:t>无组织排放废气监测按《大气污染物无组织排放监测技术导则》（HJ/T55-2000）等有关规定进行，有组织废气排放监测按《固定污染源排气中颗粒物与气态污染物采样方法》（GB/T16157-1996）等有关规定进行，厂界噪声监测按《工业企业厂界环境噪声排放标准》（GB12348-2008）等有关规定进行。</w:t>
            </w:r>
            <w:r>
              <w:rPr>
                <w:rFonts w:hint="default" w:ascii="Times New Roman" w:hAnsi="Times New Roman" w:cs="Times New Roman"/>
                <w:color w:val="000000" w:themeColor="text1"/>
                <w:sz w:val="24"/>
                <w:szCs w:val="24"/>
                <w14:textFill>
                  <w14:solidFill>
                    <w14:schemeClr w14:val="tx1"/>
                  </w14:solidFill>
                </w14:textFill>
              </w:rPr>
              <w:t>各项监测因子监测分析方法名称、方法标准号或方法来源、所使用仪器及分析方法的最低检出限详见下表：</w:t>
            </w:r>
          </w:p>
          <w:p>
            <w:pPr>
              <w:pStyle w:val="15"/>
              <w:spacing w:before="63" w:beforeLines="20" w:line="360" w:lineRule="auto"/>
              <w:ind w:firstLine="0" w:firstLine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表5-1  标准方法列表</w:t>
            </w:r>
          </w:p>
          <w:tbl>
            <w:tblPr>
              <w:tblStyle w:val="1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27"/>
              <w:gridCol w:w="1550"/>
              <w:gridCol w:w="3469"/>
              <w:gridCol w:w="1496"/>
              <w:gridCol w:w="1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blHeader/>
                <w:jc w:val="center"/>
              </w:trPr>
              <w:tc>
                <w:tcPr>
                  <w:tcW w:w="2077" w:type="dxa"/>
                  <w:gridSpan w:val="2"/>
                  <w:noWrap w:val="0"/>
                  <w:vAlign w:val="center"/>
                </w:tcPr>
                <w:p>
                  <w:pPr>
                    <w:spacing w:line="276"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检测项目</w:t>
                  </w:r>
                </w:p>
              </w:tc>
              <w:tc>
                <w:tcPr>
                  <w:tcW w:w="3469" w:type="dxa"/>
                  <w:noWrap w:val="0"/>
                  <w:vAlign w:val="center"/>
                </w:tcPr>
                <w:p>
                  <w:pPr>
                    <w:spacing w:line="276"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检测方法</w:t>
                  </w:r>
                </w:p>
              </w:tc>
              <w:tc>
                <w:tcPr>
                  <w:tcW w:w="1496" w:type="dxa"/>
                  <w:noWrap w:val="0"/>
                  <w:vAlign w:val="center"/>
                </w:tcPr>
                <w:p>
                  <w:pPr>
                    <w:spacing w:line="276"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使用仪器</w:t>
                  </w:r>
                </w:p>
              </w:tc>
              <w:tc>
                <w:tcPr>
                  <w:tcW w:w="1656" w:type="dxa"/>
                  <w:noWrap w:val="0"/>
                  <w:vAlign w:val="center"/>
                </w:tcPr>
                <w:p>
                  <w:pPr>
                    <w:spacing w:line="276"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80" w:hRule="atLeast"/>
                <w:jc w:val="center"/>
              </w:trPr>
              <w:tc>
                <w:tcPr>
                  <w:tcW w:w="527" w:type="dxa"/>
                  <w:vMerge w:val="restart"/>
                  <w:noWrap w:val="0"/>
                  <w:vAlign w:val="center"/>
                </w:tcPr>
                <w:p>
                  <w:pPr>
                    <w:spacing w:line="276" w:lineRule="auto"/>
                    <w:ind w:left="113" w:right="113"/>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废气</w:t>
                  </w:r>
                </w:p>
              </w:tc>
              <w:tc>
                <w:tcPr>
                  <w:tcW w:w="1550"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VOCs</w:t>
                  </w:r>
                </w:p>
              </w:tc>
              <w:tc>
                <w:tcPr>
                  <w:tcW w:w="3469" w:type="dxa"/>
                  <w:noWrap w:val="0"/>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家具制造行业挥发性有机化合物排放标准 附录D（DB44/814-2010）</w:t>
                  </w:r>
                </w:p>
                <w:p>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气相色谱法</w:t>
                  </w:r>
                </w:p>
              </w:tc>
              <w:tc>
                <w:tcPr>
                  <w:tcW w:w="1496" w:type="dxa"/>
                  <w:noWrap w:val="0"/>
                  <w:vAlign w:val="center"/>
                </w:tcPr>
                <w:p>
                  <w:pPr>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气相色谱仪GC-2014C</w:t>
                  </w:r>
                </w:p>
              </w:tc>
              <w:tc>
                <w:tcPr>
                  <w:tcW w:w="1656" w:type="dxa"/>
                  <w:noWrap w:val="0"/>
                  <w:vAlign w:val="center"/>
                </w:tcPr>
                <w:p>
                  <w:pPr>
                    <w:spacing w:line="276"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w:t>
                  </w:r>
                  <w:r>
                    <w:rPr>
                      <w:rFonts w:hint="default" w:ascii="Times New Roman" w:hAnsi="Times New Roman" w:cs="Times New Roman"/>
                      <w:color w:val="000000" w:themeColor="text1"/>
                      <w:kern w:val="0"/>
                      <w:szCs w:val="21"/>
                      <w:lang w:val="en-US" w:eastAsia="zh-CN"/>
                      <w14:textFill>
                        <w14:solidFill>
                          <w14:schemeClr w14:val="tx1"/>
                        </w14:solidFill>
                      </w14:textFill>
                    </w:rPr>
                    <w:t>1</w:t>
                  </w:r>
                  <w:r>
                    <w:rPr>
                      <w:rFonts w:hint="default" w:ascii="Times New Roman" w:hAnsi="Times New Roman" w:cs="Times New Roman"/>
                      <w:color w:val="000000" w:themeColor="text1"/>
                      <w:kern w:val="0"/>
                      <w:szCs w:val="21"/>
                      <w14:textFill>
                        <w14:solidFill>
                          <w14:schemeClr w14:val="tx1"/>
                        </w14:solidFill>
                      </w14:textFill>
                    </w:rPr>
                    <w:t>mg/</w:t>
                  </w:r>
                  <w:r>
                    <w:rPr>
                      <w:rFonts w:hint="default" w:ascii="Times New Roman" w:hAnsi="Times New Roman" w:cs="Times New Roman"/>
                      <w:bCs/>
                      <w:color w:val="000000" w:themeColor="text1"/>
                      <w:szCs w:val="21"/>
                      <w14:textFill>
                        <w14:solidFill>
                          <w14:schemeClr w14:val="tx1"/>
                        </w14:solidFill>
                      </w14:textFill>
                    </w:rPr>
                    <w:t xml:space="preserve"> m³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80" w:hRule="atLeast"/>
                <w:jc w:val="center"/>
              </w:trPr>
              <w:tc>
                <w:tcPr>
                  <w:tcW w:w="527" w:type="dxa"/>
                  <w:vMerge w:val="continue"/>
                  <w:noWrap w:val="0"/>
                  <w:vAlign w:val="center"/>
                </w:tcPr>
                <w:p>
                  <w:pPr>
                    <w:spacing w:line="276" w:lineRule="auto"/>
                    <w:ind w:left="113" w:right="113"/>
                    <w:jc w:val="center"/>
                    <w:rPr>
                      <w:rFonts w:hint="default" w:ascii="Times New Roman" w:hAnsi="Times New Roman" w:cs="Times New Roman"/>
                      <w:bCs/>
                      <w:color w:val="000000" w:themeColor="text1"/>
                      <w:szCs w:val="21"/>
                      <w14:textFill>
                        <w14:solidFill>
                          <w14:schemeClr w14:val="tx1"/>
                        </w14:solidFill>
                      </w14:textFill>
                    </w:rPr>
                  </w:pPr>
                </w:p>
              </w:tc>
              <w:tc>
                <w:tcPr>
                  <w:tcW w:w="1550" w:type="dxa"/>
                  <w:noWrap w:val="0"/>
                  <w:vAlign w:val="center"/>
                </w:tcPr>
                <w:p>
                  <w:pPr>
                    <w:tabs>
                      <w:tab w:val="left" w:pos="3622"/>
                    </w:tabs>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总悬浮颗粒物</w:t>
                  </w:r>
                </w:p>
              </w:tc>
              <w:tc>
                <w:tcPr>
                  <w:tcW w:w="3469" w:type="dxa"/>
                  <w:noWrap w:val="0"/>
                  <w:vAlign w:val="center"/>
                </w:tcPr>
                <w:p>
                  <w:pPr>
                    <w:tabs>
                      <w:tab w:val="left" w:pos="3622"/>
                    </w:tabs>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环境空气  总悬浮颗粒物的测定 重量法  GB/T15432-1995</w:t>
                  </w:r>
                </w:p>
              </w:tc>
              <w:tc>
                <w:tcPr>
                  <w:tcW w:w="1496" w:type="dxa"/>
                  <w:noWrap w:val="0"/>
                  <w:vAlign w:val="center"/>
                </w:tcPr>
                <w:p>
                  <w:pPr>
                    <w:tabs>
                      <w:tab w:val="left" w:pos="3622"/>
                    </w:tabs>
                    <w:jc w:val="center"/>
                    <w:rPr>
                      <w:rFonts w:hint="default" w:ascii="Times New Roman" w:hAnsi="Times New Roman" w:cs="Times New Roman"/>
                      <w:bCs/>
                      <w:color w:val="000000" w:themeColor="text1"/>
                      <w:szCs w:val="21"/>
                      <w:lang w:val="en-US"/>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电子天平FA2004B</w:t>
                  </w:r>
                </w:p>
              </w:tc>
              <w:tc>
                <w:tcPr>
                  <w:tcW w:w="1656" w:type="dxa"/>
                  <w:noWrap w:val="0"/>
                  <w:vAlign w:val="center"/>
                </w:tcPr>
                <w:p>
                  <w:pPr>
                    <w:tabs>
                      <w:tab w:val="left" w:pos="3622"/>
                    </w:tabs>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0.001mg/m</w:t>
                  </w:r>
                  <w:r>
                    <w:rPr>
                      <w:rFonts w:hint="default" w:ascii="Times New Roman" w:hAnsi="Times New Roman" w:cs="Times New Roman"/>
                      <w:bCs/>
                      <w:color w:val="000000" w:themeColor="text1"/>
                      <w:szCs w:val="21"/>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91" w:hRule="atLeast"/>
                <w:jc w:val="center"/>
              </w:trPr>
              <w:tc>
                <w:tcPr>
                  <w:tcW w:w="527" w:type="dxa"/>
                  <w:noWrap w:val="0"/>
                  <w:vAlign w:val="center"/>
                </w:tcPr>
                <w:p>
                  <w:pPr>
                    <w:spacing w:line="360" w:lineRule="auto"/>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噪声</w:t>
                  </w:r>
                </w:p>
              </w:tc>
              <w:tc>
                <w:tcPr>
                  <w:tcW w:w="1550" w:type="dxa"/>
                  <w:noWrap w:val="0"/>
                  <w:vAlign w:val="center"/>
                </w:tcPr>
                <w:p>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厂界噪声</w:t>
                  </w:r>
                </w:p>
              </w:tc>
              <w:tc>
                <w:tcPr>
                  <w:tcW w:w="3469" w:type="dxa"/>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工业企业厂界环境噪声排放标准</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GB12348-2008</w:t>
                  </w:r>
                </w:p>
                <w:p>
                  <w:pPr>
                    <w:pStyle w:val="2"/>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声级计法</w:t>
                  </w:r>
                </w:p>
              </w:tc>
              <w:tc>
                <w:tcPr>
                  <w:tcW w:w="1496"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多功能声级计AWA5688</w:t>
                  </w:r>
                </w:p>
              </w:tc>
              <w:tc>
                <w:tcPr>
                  <w:tcW w:w="1656" w:type="dxa"/>
                  <w:noWrap w:val="0"/>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bl>
          <w:p>
            <w:pPr>
              <w:pStyle w:val="15"/>
              <w:spacing w:before="63" w:beforeLines="20" w:line="360" w:lineRule="auto"/>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质量保证和质量控制</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（1）监测在工况稳定、生产负荷和污染治理设施运行正常时，负荷达到设计能力的75%以上时进行；</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（2）检测过程严格按照各项污染物监测方法和其他相关技术规范进行；</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（3）检测人员持证上岗，所有计量仪器均经过计量部门检定合格并在有效期内使用；</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）废气采样分析系统在采样前进行气路检查、流量校准，确保整个采样过程中分析系统的气密性和计量准确行；</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）噪声监测仪在监测前、后均以标准声源进行校准，其前、后校准偏差不得大于0.5dB；</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）监测数据执行三级审核制度。</w:t>
            </w: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本次检测的</w:t>
            </w:r>
            <w:r>
              <w:rPr>
                <w:rFonts w:hint="default" w:ascii="Times New Roman" w:hAnsi="Times New Roman" w:cs="Times New Roman"/>
                <w:color w:val="000000" w:themeColor="text1"/>
                <w:sz w:val="24"/>
                <w:szCs w:val="24"/>
                <w14:textFill>
                  <w14:solidFill>
                    <w14:schemeClr w14:val="tx1"/>
                  </w14:solidFill>
                </w14:textFill>
              </w:rPr>
              <w:t>质控结果见表5-2、表5-3、表5-4、表5-5；</w:t>
            </w:r>
          </w:p>
          <w:p>
            <w:pPr>
              <w:spacing w:line="360" w:lineRule="auto"/>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表5-2噪声仪器校准</w:t>
            </w:r>
            <w:r>
              <w:rPr>
                <w:rFonts w:hint="default" w:ascii="Times New Roman" w:hAnsi="Times New Roman" w:cs="Times New Roman"/>
                <w:b/>
                <w:bCs/>
                <w:color w:val="000000" w:themeColor="text1"/>
                <w:szCs w:val="21"/>
                <w:lang w:val="en-US" w:eastAsia="zh-CN"/>
                <w14:textFill>
                  <w14:solidFill>
                    <w14:schemeClr w14:val="tx1"/>
                  </w14:solidFill>
                </w14:textFill>
              </w:rPr>
              <w:t>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7"/>
              <w:gridCol w:w="1833"/>
              <w:gridCol w:w="1183"/>
              <w:gridCol w:w="1064"/>
              <w:gridCol w:w="651"/>
              <w:gridCol w:w="651"/>
              <w:gridCol w:w="651"/>
              <w:gridCol w:w="651"/>
              <w:gridCol w:w="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16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校准日期</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/频次</w:t>
                  </w: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18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声级计型号</w:t>
                  </w:r>
                </w:p>
              </w:tc>
              <w:tc>
                <w:tcPr>
                  <w:tcW w:w="106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校准设备</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检测前</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校验</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误差</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检测后</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校验</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东面厂界外 1m 处</w:t>
                  </w:r>
                </w:p>
              </w:tc>
              <w:tc>
                <w:tcPr>
                  <w:tcW w:w="1183" w:type="dxa"/>
                  <w:vMerge w:val="restart"/>
                  <w:vAlign w:val="center"/>
                </w:tcPr>
                <w:p>
                  <w:pPr>
                    <w:jc w:val="center"/>
                    <w:rPr>
                      <w:rFonts w:hint="default" w:ascii="Times New Roman" w:hAnsi="Times New Roman" w:eastAsia="Times New Roman" w:cs="Times New Roman"/>
                      <w:color w:val="000000" w:themeColor="text1"/>
                      <w14:textFill>
                        <w14:solidFill>
                          <w14:schemeClr w14:val="tx1"/>
                        </w14:solidFill>
                      </w14:textFill>
                    </w:rPr>
                  </w:pPr>
                  <w:r>
                    <w:rPr>
                      <w:rFonts w:hint="default" w:ascii="Times New Roman" w:hAnsi="Times New Roman" w:eastAsia="Times New Roman" w:cs="Times New Roman"/>
                      <w:color w:val="000000" w:themeColor="text1"/>
                      <w14:textFill>
                        <w14:solidFill>
                          <w14:schemeClr w14:val="tx1"/>
                        </w14:solidFill>
                      </w14:textFill>
                    </w:rPr>
                    <w:t>声级计</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AWA6228+</w:t>
                  </w:r>
                </w:p>
              </w:tc>
              <w:tc>
                <w:tcPr>
                  <w:tcW w:w="106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声级校准器</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AWA6221A</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93.8</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94.2</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西面厂界外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93.8</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67"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94.1</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93.9</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西面厂界外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94.1</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93.8</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67"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东面厂界外 1m 处</w:t>
                  </w:r>
                </w:p>
              </w:tc>
              <w:tc>
                <w:tcPr>
                  <w:tcW w:w="118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声级计</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AWA6228+</w:t>
                  </w:r>
                </w:p>
              </w:tc>
              <w:tc>
                <w:tcPr>
                  <w:tcW w:w="106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声级校准器</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AWA6221A</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93.7</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93.9</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西面厂界外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94.2</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93.4</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93.5</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西面厂界外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93.9</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67"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3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北面厂界外 1m 处</w:t>
                  </w:r>
                </w:p>
              </w:tc>
              <w:tc>
                <w:tcPr>
                  <w:tcW w:w="118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6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65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93.7</w:t>
                  </w:r>
                </w:p>
              </w:tc>
              <w:tc>
                <w:tcPr>
                  <w:tcW w:w="6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8504" w:type="dxa"/>
                  <w:gridSpan w:val="9"/>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校验结果评价：本次噪声监测期间仪器使用前后校验误差均小于±0.5 dB(A)，符合执行标准要求。</w:t>
                  </w:r>
                </w:p>
              </w:tc>
            </w:tr>
          </w:tbl>
          <w:p>
            <w:pPr>
              <w:spacing w:line="360" w:lineRule="auto"/>
              <w:jc w:val="center"/>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表5-</w:t>
            </w:r>
            <w:r>
              <w:rPr>
                <w:rFonts w:hint="default" w:ascii="Times New Roman" w:hAnsi="Times New Roman" w:cs="Times New Roman"/>
                <w:b/>
                <w:bCs/>
                <w:color w:val="000000" w:themeColor="text1"/>
                <w:lang w:val="en-US" w:eastAsia="zh-CN"/>
                <w14:textFill>
                  <w14:solidFill>
                    <w14:schemeClr w14:val="tx1"/>
                  </w14:solidFill>
                </w14:textFill>
              </w:rPr>
              <w:t>3.废气监测分析质量控制表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258"/>
              <w:gridCol w:w="2361"/>
              <w:gridCol w:w="3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9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25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检测日期</w:t>
                  </w:r>
                </w:p>
              </w:tc>
              <w:tc>
                <w:tcPr>
                  <w:tcW w:w="236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空白编号</w:t>
                  </w:r>
                </w:p>
              </w:tc>
              <w:tc>
                <w:tcPr>
                  <w:tcW w:w="39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25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tc>
              <w:tc>
                <w:tcPr>
                  <w:tcW w:w="236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FQ905054106-01-KB2</w:t>
                  </w:r>
                </w:p>
              </w:tc>
              <w:tc>
                <w:tcPr>
                  <w:tcW w:w="39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25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tc>
              <w:tc>
                <w:tcPr>
                  <w:tcW w:w="236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FQ905054106-02-KB2</w:t>
                  </w:r>
                </w:p>
              </w:tc>
              <w:tc>
                <w:tcPr>
                  <w:tcW w:w="39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25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2019-12-02</w:t>
                  </w:r>
                </w:p>
              </w:tc>
              <w:tc>
                <w:tcPr>
                  <w:tcW w:w="236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FQ905054106-01-KB1</w:t>
                  </w:r>
                </w:p>
              </w:tc>
              <w:tc>
                <w:tcPr>
                  <w:tcW w:w="39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32"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25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2019-12-03</w:t>
                  </w:r>
                </w:p>
              </w:tc>
              <w:tc>
                <w:tcPr>
                  <w:tcW w:w="236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FQ905054106-02-KB1</w:t>
                  </w:r>
                </w:p>
              </w:tc>
              <w:tc>
                <w:tcPr>
                  <w:tcW w:w="39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bl>
          <w:p>
            <w:pPr>
              <w:topLinePunct/>
              <w:adjustRightInd w:val="0"/>
              <w:snapToGrid w:val="0"/>
              <w:spacing w:line="360" w:lineRule="auto"/>
              <w:jc w:val="both"/>
              <w:rPr>
                <w:rFonts w:hint="default" w:ascii="Times New Roman" w:hAnsi="Times New Roman" w:cs="Times New Roman"/>
                <w:b/>
                <w:bCs/>
                <w:color w:val="000000" w:themeColor="text1"/>
                <w:szCs w:val="21"/>
                <w14:textFill>
                  <w14:solidFill>
                    <w14:schemeClr w14:val="tx1"/>
                  </w14:solidFill>
                </w14:textFill>
              </w:rPr>
            </w:pPr>
          </w:p>
          <w:p>
            <w:pPr>
              <w:pStyle w:val="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表5-</w:t>
            </w:r>
            <w:r>
              <w:rPr>
                <w:rFonts w:hint="default" w:ascii="Times New Roman" w:hAnsi="Times New Roman" w:cs="Times New Roman"/>
                <w:b/>
                <w:bCs/>
                <w:color w:val="000000" w:themeColor="text1"/>
                <w:sz w:val="21"/>
                <w:szCs w:val="21"/>
                <w:lang w:val="en-US" w:eastAsia="zh-CN"/>
                <w14:textFill>
                  <w14:solidFill>
                    <w14:schemeClr w14:val="tx1"/>
                  </w14:solidFill>
                </w14:textFill>
              </w:rPr>
              <w:t>4.废气监测分析质量控制表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1117"/>
              <w:gridCol w:w="2040"/>
              <w:gridCol w:w="1109"/>
              <w:gridCol w:w="1110"/>
              <w:gridCol w:w="1113"/>
              <w:gridCol w:w="997"/>
              <w:gridCol w:w="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2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号</w:t>
                  </w:r>
                </w:p>
              </w:tc>
              <w:tc>
                <w:tcPr>
                  <w:tcW w:w="111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检测日期</w:t>
                  </w:r>
                </w:p>
              </w:tc>
              <w:tc>
                <w:tcPr>
                  <w:tcW w:w="204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空白编号</w:t>
                  </w:r>
                </w:p>
              </w:tc>
              <w:tc>
                <w:tcPr>
                  <w:tcW w:w="110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初始恒重</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w:t>
                  </w:r>
                </w:p>
              </w:tc>
              <w:tc>
                <w:tcPr>
                  <w:tcW w:w="111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检测后恒</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重（g）</w:t>
                  </w:r>
                </w:p>
              </w:tc>
              <w:tc>
                <w:tcPr>
                  <w:tcW w:w="111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样品增重</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w:t>
                  </w:r>
                </w:p>
              </w:tc>
              <w:tc>
                <w:tcPr>
                  <w:tcW w:w="9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允许范围</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w:t>
                  </w:r>
                </w:p>
              </w:tc>
              <w:tc>
                <w:tcPr>
                  <w:tcW w:w="59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11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tc>
              <w:tc>
                <w:tcPr>
                  <w:tcW w:w="204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FQ905054106-01-KB</w:t>
                  </w:r>
                </w:p>
              </w:tc>
              <w:tc>
                <w:tcPr>
                  <w:tcW w:w="110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0.4099</w:t>
                  </w:r>
                </w:p>
              </w:tc>
              <w:tc>
                <w:tcPr>
                  <w:tcW w:w="111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0.4099</w:t>
                  </w:r>
                </w:p>
              </w:tc>
              <w:tc>
                <w:tcPr>
                  <w:tcW w:w="111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9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±0.0005</w:t>
                  </w:r>
                </w:p>
              </w:tc>
              <w:tc>
                <w:tcPr>
                  <w:tcW w:w="59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42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11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tc>
              <w:tc>
                <w:tcPr>
                  <w:tcW w:w="204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FQ905054106-02-KB</w:t>
                  </w:r>
                </w:p>
              </w:tc>
              <w:tc>
                <w:tcPr>
                  <w:tcW w:w="110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0.4144</w:t>
                  </w:r>
                </w:p>
              </w:tc>
              <w:tc>
                <w:tcPr>
                  <w:tcW w:w="111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0.4145</w:t>
                  </w:r>
                </w:p>
              </w:tc>
              <w:tc>
                <w:tcPr>
                  <w:tcW w:w="111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+0.0001</w:t>
                  </w:r>
                </w:p>
              </w:tc>
              <w:tc>
                <w:tcPr>
                  <w:tcW w:w="9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±0.0005</w:t>
                  </w:r>
                </w:p>
              </w:tc>
              <w:tc>
                <w:tcPr>
                  <w:tcW w:w="59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pPr>
              <w:topLinePunct/>
              <w:adjustRightInd w:val="0"/>
              <w:snapToGrid w:val="0"/>
              <w:spacing w:line="360" w:lineRule="auto"/>
              <w:jc w:val="center"/>
              <w:rPr>
                <w:rFonts w:hint="default" w:ascii="Times New Roman" w:hAnsi="Times New Roman" w:cs="Times New Roman"/>
                <w:b/>
                <w:bCs/>
                <w:color w:val="000000" w:themeColor="text1"/>
                <w:szCs w:val="21"/>
                <w14:textFill>
                  <w14:solidFill>
                    <w14:schemeClr w14:val="tx1"/>
                  </w14:solidFill>
                </w14:textFill>
              </w:rPr>
            </w:pPr>
          </w:p>
          <w:p>
            <w:pPr>
              <w:topLinePunct/>
              <w:adjustRightInd w:val="0"/>
              <w:snapToGrid w:val="0"/>
              <w:spacing w:line="360" w:lineRule="auto"/>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表5-</w:t>
            </w:r>
            <w:r>
              <w:rPr>
                <w:rFonts w:hint="default" w:ascii="Times New Roman" w:hAnsi="Times New Roman" w:cs="Times New Roman"/>
                <w:b/>
                <w:bCs/>
                <w:color w:val="000000" w:themeColor="text1"/>
                <w:szCs w:val="21"/>
                <w:lang w:val="en-US" w:eastAsia="zh-CN"/>
                <w14:textFill>
                  <w14:solidFill>
                    <w14:schemeClr w14:val="tx1"/>
                  </w14:solidFill>
                </w14:textFill>
              </w:rPr>
              <w:t>5</w:t>
            </w:r>
            <w:r>
              <w:rPr>
                <w:rFonts w:hint="default" w:ascii="Times New Roman" w:hAnsi="Times New Roman" w:cs="Times New Roman"/>
                <w:b/>
                <w:bCs/>
                <w:color w:val="000000" w:themeColor="text1"/>
                <w:szCs w:val="21"/>
                <w14:textFill>
                  <w14:solidFill>
                    <w14:schemeClr w14:val="tx1"/>
                  </w14:solidFill>
                </w14:textFill>
              </w:rPr>
              <w:t xml:space="preserve">  设备流量校准质量控制</w:t>
            </w:r>
            <w:r>
              <w:rPr>
                <w:rFonts w:hint="default" w:ascii="Times New Roman" w:hAnsi="Times New Roman" w:cs="Times New Roman"/>
                <w:b/>
                <w:bCs/>
                <w:color w:val="000000" w:themeColor="text1"/>
                <w:szCs w:val="21"/>
                <w:lang w:val="en-US" w:eastAsia="zh-CN"/>
                <w14:textFill>
                  <w14:solidFill>
                    <w14:schemeClr w14:val="tx1"/>
                  </w14:solidFill>
                </w14:textFill>
              </w:rPr>
              <w:t>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1"/>
              <w:gridCol w:w="1384"/>
              <w:gridCol w:w="1153"/>
              <w:gridCol w:w="1050"/>
              <w:gridCol w:w="797"/>
              <w:gridCol w:w="708"/>
              <w:gridCol w:w="1041"/>
              <w:gridCol w:w="104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1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38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仪器型号及名</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称（出厂编号）</w:t>
                  </w:r>
                </w:p>
              </w:tc>
              <w:tc>
                <w:tcPr>
                  <w:tcW w:w="11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校准日期</w:t>
                  </w:r>
                </w:p>
              </w:tc>
              <w:tc>
                <w:tcPr>
                  <w:tcW w:w="105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校准流量</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（L/min）</w:t>
                  </w:r>
                </w:p>
              </w:tc>
              <w:tc>
                <w:tcPr>
                  <w:tcW w:w="1505" w:type="dxa"/>
                  <w:gridSpan w:val="2"/>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实测流量</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（L/min）</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相对偏差</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允许偏差</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11"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38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ADS-2062E (040402683)</w:t>
                  </w: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99.8</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99.5</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38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ADS-2062E (040402570)</w:t>
                  </w: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99.7</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103</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99.6</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99.8</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38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ADS-2062E (040402595)</w:t>
                  </w: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99.3</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99.8</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99.4</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38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ADS-2062E (040402613)</w:t>
                  </w: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2019-11-05</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99.4</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98.9</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2019-11-06</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99.7</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1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384"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仪器型号及名</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称（出厂编号）</w:t>
                  </w:r>
                </w:p>
              </w:tc>
              <w:tc>
                <w:tcPr>
                  <w:tcW w:w="115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校准日期</w:t>
                  </w:r>
                </w:p>
              </w:tc>
              <w:tc>
                <w:tcPr>
                  <w:tcW w:w="1050"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校准流量</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（ml/min）</w:t>
                  </w:r>
                </w:p>
              </w:tc>
              <w:tc>
                <w:tcPr>
                  <w:tcW w:w="1505" w:type="dxa"/>
                  <w:gridSpan w:val="2"/>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实测流量</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（L/min）</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相对偏差</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允许偏差</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611"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38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EM-2072A</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（080200177）</w:t>
                  </w: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2019-12-02</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506</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611"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384"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EM-2072A</w:t>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（080200177）</w:t>
                  </w:r>
                </w:p>
              </w:tc>
              <w:tc>
                <w:tcPr>
                  <w:tcW w:w="1153"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2019-12-03</w:t>
                  </w:r>
                </w:p>
              </w:tc>
              <w:tc>
                <w:tcPr>
                  <w:tcW w:w="1050"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采样前</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611"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384"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153"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050" w:type="dxa"/>
                  <w:vMerge w:val="continue"/>
                  <w:tcBorders>
                    <w:top w:val="nil"/>
                  </w:tcBorders>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97"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采样后</w:t>
                  </w:r>
                </w:p>
              </w:tc>
              <w:tc>
                <w:tcPr>
                  <w:tcW w:w="708"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505</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041"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71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pPr>
              <w:topLinePunct/>
              <w:adjustRightInd w:val="0"/>
              <w:snapToGrid w:val="0"/>
              <w:spacing w:line="360" w:lineRule="auto"/>
              <w:jc w:val="center"/>
              <w:rPr>
                <w:rFonts w:hint="default" w:ascii="Times New Roman" w:hAnsi="Times New Roman" w:cs="Times New Roman"/>
                <w:b/>
                <w:bCs/>
                <w:color w:val="000000" w:themeColor="text1"/>
                <w:sz w:val="24"/>
                <w:szCs w:val="24"/>
                <w14:textFill>
                  <w14:solidFill>
                    <w14:schemeClr w14:val="tx1"/>
                  </w14:solidFill>
                </w14:textFill>
              </w:rPr>
            </w:pPr>
          </w:p>
        </w:tc>
      </w:tr>
    </w:tbl>
    <w:p>
      <w:pPr>
        <w:snapToGrid w:val="0"/>
        <w:outlineLvl w:val="9"/>
        <w:rPr>
          <w:rFonts w:hint="default" w:ascii="Times New Roman" w:hAnsi="Times New Roman" w:cs="Times New Roman"/>
          <w:b/>
          <w:color w:val="000000" w:themeColor="text1"/>
          <w:sz w:val="30"/>
          <w:szCs w:val="30"/>
          <w14:textFill>
            <w14:solidFill>
              <w14:schemeClr w14:val="tx1"/>
            </w14:solidFill>
          </w14:textFill>
        </w:rPr>
        <w:sectPr>
          <w:footerReference r:id="rId3" w:type="default"/>
          <w:pgSz w:w="11850" w:h="16783"/>
          <w:pgMar w:top="1797" w:right="1474" w:bottom="1155" w:left="1474" w:header="851" w:footer="992" w:gutter="0"/>
          <w:pgNumType w:fmt="decimal" w:start="1"/>
          <w:cols w:space="720" w:num="1"/>
          <w:docGrid w:type="lines" w:linePitch="319" w:charSpace="0"/>
        </w:sectPr>
      </w:pPr>
    </w:p>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bookmarkStart w:id="20" w:name="_Toc22899"/>
      <w:bookmarkStart w:id="21" w:name="_Toc19818"/>
      <w:bookmarkStart w:id="22" w:name="_Toc18169"/>
      <w:r>
        <w:rPr>
          <w:rFonts w:hint="default" w:ascii="Times New Roman" w:hAnsi="Times New Roman" w:cs="Times New Roman"/>
          <w:b/>
          <w:color w:val="000000" w:themeColor="text1"/>
          <w:sz w:val="30"/>
          <w:szCs w:val="30"/>
          <w14:textFill>
            <w14:solidFill>
              <w14:schemeClr w14:val="tx1"/>
            </w14:solidFill>
          </w14:textFill>
        </w:rPr>
        <w:t>表六  验收监测内容</w:t>
      </w:r>
      <w:bookmarkEnd w:id="20"/>
      <w:bookmarkEnd w:id="21"/>
      <w:bookmarkEnd w:id="22"/>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8" w:hRule="atLeast"/>
          <w:jc w:val="center"/>
        </w:trPr>
        <w:tc>
          <w:tcPr>
            <w:tcW w:w="8924" w:type="dxa"/>
          </w:tcPr>
          <w:p>
            <w:pPr>
              <w:numPr>
                <w:ilvl w:val="0"/>
                <w:numId w:val="7"/>
              </w:numPr>
              <w:snapToGrid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废气</w:t>
            </w:r>
          </w:p>
          <w:p>
            <w:pPr>
              <w:widowControl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（1）粉尘</w:t>
            </w:r>
          </w:p>
          <w:p>
            <w:pPr>
              <w:widowControl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粉尘（颗粒物）排放源为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切割和喷粉工序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，废气监测内容见表6-1，无组织排放粉尘监测点位图见图6-1。</w:t>
            </w:r>
          </w:p>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表6-1  无组织废气监测内容一览表</w:t>
            </w:r>
          </w:p>
          <w:tbl>
            <w:tblPr>
              <w:tblStyle w:val="1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7"/>
              <w:gridCol w:w="2805"/>
              <w:gridCol w:w="1695"/>
              <w:gridCol w:w="1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监测因子</w:t>
                  </w:r>
                </w:p>
              </w:tc>
              <w:tc>
                <w:tcPr>
                  <w:tcW w:w="280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监测点位</w:t>
                  </w:r>
                </w:p>
              </w:tc>
              <w:tc>
                <w:tcPr>
                  <w:tcW w:w="169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监测周期</w:t>
                  </w:r>
                </w:p>
              </w:tc>
              <w:tc>
                <w:tcPr>
                  <w:tcW w:w="1771"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无组织排放颗粒物</w:t>
                  </w:r>
                </w:p>
              </w:tc>
              <w:tc>
                <w:tcPr>
                  <w:tcW w:w="280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厂界上风向设1个参照点，下风向设3个监控点</w:t>
                  </w:r>
                </w:p>
              </w:tc>
              <w:tc>
                <w:tcPr>
                  <w:tcW w:w="1695"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1771"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每天3次</w:t>
                  </w:r>
                </w:p>
              </w:tc>
            </w:tr>
          </w:tbl>
          <w:p>
            <w:pPr>
              <w:rPr>
                <w:rFonts w:hint="default" w:ascii="Times New Roman" w:hAnsi="Times New Roman" w:cs="Times New Roman"/>
                <w:color w:val="000000" w:themeColor="text1"/>
                <w14:textFill>
                  <w14:solidFill>
                    <w14:schemeClr w14:val="tx1"/>
                  </w14:solidFill>
                </w14:textFill>
              </w:rPr>
            </w:pPr>
          </w:p>
          <w:p>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790440" cy="2792095"/>
                  <wp:effectExtent l="0" t="0" r="10160" b="825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2"/>
                          <a:stretch>
                            <a:fillRect/>
                          </a:stretch>
                        </pic:blipFill>
                        <pic:spPr>
                          <a:xfrm>
                            <a:off x="0" y="0"/>
                            <a:ext cx="4790440" cy="2792095"/>
                          </a:xfrm>
                          <a:prstGeom prst="rect">
                            <a:avLst/>
                          </a:prstGeom>
                          <a:noFill/>
                          <a:ln>
                            <a:noFill/>
                          </a:ln>
                        </pic:spPr>
                      </pic:pic>
                    </a:graphicData>
                  </a:graphic>
                </wp:inline>
              </w:drawing>
            </w:r>
          </w:p>
          <w:p>
            <w:pPr>
              <w:widowControl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图6-1 </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无组织排放废气监测点位示意图</w:t>
            </w:r>
          </w:p>
          <w:p>
            <w:pPr>
              <w:widowControl/>
              <w:jc w:val="center"/>
              <w:rPr>
                <w:rFonts w:hint="default" w:ascii="Times New Roman" w:hAnsi="Times New Roman" w:cs="Times New Roman"/>
                <w:color w:val="000000" w:themeColor="text1"/>
                <w14:textFill>
                  <w14:solidFill>
                    <w14:schemeClr w14:val="tx1"/>
                  </w14:solidFill>
                </w14:textFill>
              </w:rPr>
            </w:pPr>
          </w:p>
          <w:p>
            <w:pPr>
              <w:widowControl w:val="0"/>
              <w:numPr>
                <w:ilvl w:val="0"/>
                <w:numId w:val="8"/>
              </w:numPr>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有机废气</w:t>
            </w:r>
          </w:p>
          <w:p>
            <w:pPr>
              <w:widowControl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有机废气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排放源为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固化工序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，废气监测内容见表6-</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组织排放</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监测点位图见图6-</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widowControl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表6-2  喷漆废气监测内容一览表</w:t>
            </w:r>
          </w:p>
          <w:tbl>
            <w:tblPr>
              <w:tblStyle w:val="12"/>
              <w:tblW w:w="87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760"/>
              <w:gridCol w:w="1769"/>
              <w:gridCol w:w="2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2"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监测因子</w:t>
                  </w:r>
                </w:p>
              </w:tc>
              <w:tc>
                <w:tcPr>
                  <w:tcW w:w="2760"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监测点位</w:t>
                  </w:r>
                </w:p>
              </w:tc>
              <w:tc>
                <w:tcPr>
                  <w:tcW w:w="1769"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监测周期</w:t>
                  </w:r>
                </w:p>
              </w:tc>
              <w:tc>
                <w:tcPr>
                  <w:tcW w:w="217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2" w:type="dxa"/>
                  <w:noWrap w:val="0"/>
                  <w:vAlign w:val="center"/>
                </w:tcPr>
                <w:p>
                  <w:pPr>
                    <w:tabs>
                      <w:tab w:val="left" w:pos="480"/>
                    </w:tabs>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有组织排放VOCs</w:t>
                  </w:r>
                </w:p>
              </w:tc>
              <w:tc>
                <w:tcPr>
                  <w:tcW w:w="2760"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喷</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粉</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房废气排放口</w:t>
                  </w:r>
                </w:p>
              </w:tc>
              <w:tc>
                <w:tcPr>
                  <w:tcW w:w="1769"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177"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每天3次</w:t>
                  </w:r>
                </w:p>
              </w:tc>
            </w:tr>
          </w:tbl>
          <w:p>
            <w:pPr>
              <w:widowControl/>
              <w:jc w:val="center"/>
              <w:rPr>
                <w:rFonts w:hint="default" w:ascii="Times New Roman" w:hAnsi="Times New Roman" w:cs="Times New Roman"/>
                <w:color w:val="000000" w:themeColor="text1"/>
                <w14:textFill>
                  <w14:solidFill>
                    <w14:schemeClr w14:val="tx1"/>
                  </w14:solidFill>
                </w14:textFill>
              </w:rPr>
            </w:pPr>
          </w:p>
          <w:p>
            <w:pPr>
              <w:widowControl w:val="0"/>
              <w:snapToGrid w:val="0"/>
              <w:spacing w:before="0" w:line="360" w:lineRule="auto"/>
              <w:ind w:firstLine="420" w:firstLineChars="200"/>
              <w:jc w:val="both"/>
              <w:rPr>
                <w:rFonts w:hint="default" w:ascii="Times New Roman" w:hAnsi="Times New Roman" w:cs="Times New Roman"/>
                <w:color w:val="000000" w:themeColor="text1"/>
                <w14:textFill>
                  <w14:solidFill>
                    <w14:schemeClr w14:val="tx1"/>
                  </w14:solidFill>
                </w14:textFill>
              </w:rPr>
            </w:pPr>
            <w:r>
              <w:drawing>
                <wp:inline distT="0" distB="0" distL="114300" distR="114300">
                  <wp:extent cx="5248275" cy="2752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48275" cy="2752725"/>
                          </a:xfrm>
                          <a:prstGeom prst="rect">
                            <a:avLst/>
                          </a:prstGeom>
                          <a:noFill/>
                          <a:ln>
                            <a:noFill/>
                          </a:ln>
                        </pic:spPr>
                      </pic:pic>
                    </a:graphicData>
                  </a:graphic>
                </wp:inline>
              </w:drawing>
            </w:r>
          </w:p>
          <w:p>
            <w:pPr>
              <w:widowControl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图6-</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 xml:space="preserve"> 有</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组织排放废气监测点位示意图</w:t>
            </w:r>
          </w:p>
          <w:p>
            <w:pPr>
              <w:widowControl w:val="0"/>
              <w:snapToGrid w:val="0"/>
              <w:spacing w:before="0" w:line="360" w:lineRule="auto"/>
              <w:jc w:val="both"/>
              <w:rPr>
                <w:rFonts w:hint="default" w:ascii="Times New Roman" w:hAnsi="Times New Roman" w:cs="Times New Roman"/>
                <w:color w:val="000000" w:themeColor="text1"/>
                <w14:textFill>
                  <w14:solidFill>
                    <w14:schemeClr w14:val="tx1"/>
                  </w14:solidFill>
                </w14:textFill>
              </w:rPr>
            </w:pPr>
          </w:p>
          <w:p>
            <w:pPr>
              <w:widowControl w:val="0"/>
              <w:snapToGrid w:val="0"/>
              <w:spacing w:before="0" w:line="360" w:lineRule="auto"/>
              <w:ind w:firstLine="482" w:firstLineChars="20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2、噪声</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本项目设置4个厂界噪声监测位点，分别位于厂界东</w:t>
            </w:r>
            <w:r>
              <w:rPr>
                <w:rFonts w:hint="default" w:ascii="Times New Roman" w:hAnsi="Times New Roman" w:cs="Times New Roman"/>
                <w:color w:val="000000" w:themeColor="text1"/>
                <w:sz w:val="24"/>
                <w:szCs w:val="24"/>
                <w:lang w:val="en-US" w:eastAsia="zh-CN"/>
                <w14:textFill>
                  <w14:solidFill>
                    <w14:schemeClr w14:val="tx1"/>
                  </w14:solidFill>
                </w14:textFill>
              </w:rPr>
              <w:t>南面</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南角</w:t>
            </w:r>
            <w:r>
              <w:rPr>
                <w:rFonts w:hint="default" w:ascii="Times New Roman" w:hAnsi="Times New Roman" w:cs="Times New Roman"/>
                <w:color w:val="000000" w:themeColor="text1"/>
                <w:sz w:val="24"/>
                <w:szCs w:val="24"/>
                <w14:textFill>
                  <w14:solidFill>
                    <w14:schemeClr w14:val="tx1"/>
                  </w14:solidFill>
                </w14:textFill>
              </w:rPr>
              <w:t>、西</w:t>
            </w:r>
            <w:r>
              <w:rPr>
                <w:rFonts w:hint="default" w:ascii="Times New Roman" w:hAnsi="Times New Roman" w:cs="Times New Roman"/>
                <w:color w:val="000000" w:themeColor="text1"/>
                <w:sz w:val="24"/>
                <w:szCs w:val="24"/>
                <w:lang w:val="en-US" w:eastAsia="zh-CN"/>
                <w14:textFill>
                  <w14:solidFill>
                    <w14:schemeClr w14:val="tx1"/>
                  </w14:solidFill>
                </w14:textFill>
              </w:rPr>
              <w:t>南面和西北面</w:t>
            </w:r>
            <w:r>
              <w:rPr>
                <w:rFonts w:hint="default" w:ascii="Times New Roman" w:hAnsi="Times New Roman" w:cs="Times New Roman"/>
                <w:color w:val="000000" w:themeColor="text1"/>
                <w:sz w:val="24"/>
                <w:szCs w:val="24"/>
                <w14:textFill>
                  <w14:solidFill>
                    <w14:schemeClr w14:val="tx1"/>
                  </w14:solidFill>
                </w14:textFill>
              </w:rPr>
              <w:t>外1m处，噪声监测内容见表6-3，监测点位布置图见图6-1。</w:t>
            </w:r>
          </w:p>
          <w:p>
            <w:pPr>
              <w:snapToGrid w:val="0"/>
              <w:spacing w:before="63" w:beforeLines="20"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表6-3  噪声监测内容一览表</w:t>
            </w:r>
          </w:p>
          <w:tbl>
            <w:tblPr>
              <w:tblStyle w:val="1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081"/>
              <w:gridCol w:w="2486"/>
              <w:gridCol w:w="2484"/>
              <w:gridCol w:w="24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61"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编号</w:t>
                  </w:r>
                </w:p>
              </w:tc>
              <w:tc>
                <w:tcPr>
                  <w:tcW w:w="2486"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监测点位置</w:t>
                  </w:r>
                </w:p>
              </w:tc>
              <w:tc>
                <w:tcPr>
                  <w:tcW w:w="2484"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监测周期</w:t>
                  </w:r>
                </w:p>
              </w:tc>
              <w:tc>
                <w:tcPr>
                  <w:tcW w:w="247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1"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486" w:type="dxa"/>
                  <w:noWrap w:val="0"/>
                  <w:vAlign w:val="top"/>
                </w:tcPr>
                <w:p>
                  <w:pPr>
                    <w:pStyle w:val="19"/>
                    <w:spacing w:before="45"/>
                    <w:ind w:left="89" w:leftChars="0" w:right="80" w:righ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东南面厂界外</w:t>
                  </w:r>
                  <w:r>
                    <w:rPr>
                      <w:rFonts w:hint="default" w:ascii="Times New Roman" w:hAnsi="Times New Roman" w:cs="Times New Roman"/>
                      <w:color w:val="000000" w:themeColor="text1"/>
                      <w:sz w:val="21"/>
                      <w:szCs w:val="21"/>
                      <w14:textFill>
                        <w14:solidFill>
                          <w14:schemeClr w14:val="tx1"/>
                        </w14:solidFill>
                      </w14:textFill>
                    </w:rPr>
                    <w:t xml:space="preserve">1m </w:t>
                  </w: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2484"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471" w:type="dxa"/>
                  <w:vMerge w:val="restart"/>
                  <w:noWrap w:val="0"/>
                  <w:vAlign w:val="center"/>
                </w:tcPr>
                <w:p>
                  <w:pPr>
                    <w:pStyle w:val="16"/>
                    <w:adjustRightInd/>
                    <w:snapToGrid w:val="0"/>
                    <w:spacing w:after="0"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每天分昼间（6:00～22:00）和夜间（22:00～6:00）分别监测1次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1"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486" w:type="dxa"/>
                  <w:noWrap w:val="0"/>
                  <w:vAlign w:val="top"/>
                </w:tcPr>
                <w:p>
                  <w:pPr>
                    <w:pStyle w:val="19"/>
                    <w:spacing w:before="44"/>
                    <w:ind w:left="89" w:leftChars="0" w:right="80" w:righ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南角厂界外 </w:t>
                  </w:r>
                  <w:r>
                    <w:rPr>
                      <w:rFonts w:hint="default" w:ascii="Times New Roman" w:hAnsi="Times New Roman" w:cs="Times New Roman"/>
                      <w:color w:val="000000" w:themeColor="text1"/>
                      <w:sz w:val="21"/>
                      <w:szCs w:val="21"/>
                      <w14:textFill>
                        <w14:solidFill>
                          <w14:schemeClr w14:val="tx1"/>
                        </w14:solidFill>
                      </w14:textFill>
                    </w:rPr>
                    <w:t xml:space="preserve">1m </w:t>
                  </w: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2484"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471" w:type="dxa"/>
                  <w:vMerge w:val="continue"/>
                  <w:noWrap w:val="0"/>
                  <w:vAlign w:val="center"/>
                </w:tcPr>
                <w:p>
                  <w:pPr>
                    <w:pStyle w:val="16"/>
                    <w:adjustRightInd/>
                    <w:snapToGrid w:val="0"/>
                    <w:spacing w:after="0" w:line="360" w:lineRule="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1"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486" w:type="dxa"/>
                  <w:noWrap w:val="0"/>
                  <w:vAlign w:val="top"/>
                </w:tcPr>
                <w:p>
                  <w:pPr>
                    <w:pStyle w:val="19"/>
                    <w:spacing w:before="45"/>
                    <w:ind w:left="89" w:leftChars="0" w:right="80" w:righ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西南面厂界外</w:t>
                  </w:r>
                  <w:r>
                    <w:rPr>
                      <w:rFonts w:hint="default" w:ascii="Times New Roman" w:hAnsi="Times New Roman" w:cs="Times New Roman"/>
                      <w:color w:val="000000" w:themeColor="text1"/>
                      <w:sz w:val="21"/>
                      <w:szCs w:val="21"/>
                      <w14:textFill>
                        <w14:solidFill>
                          <w14:schemeClr w14:val="tx1"/>
                        </w14:solidFill>
                      </w14:textFill>
                    </w:rPr>
                    <w:t xml:space="preserve">1m </w:t>
                  </w: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2484"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471" w:type="dxa"/>
                  <w:vMerge w:val="continue"/>
                  <w:noWrap w:val="0"/>
                  <w:vAlign w:val="center"/>
                </w:tcPr>
                <w:p>
                  <w:pPr>
                    <w:pStyle w:val="16"/>
                    <w:adjustRightInd/>
                    <w:snapToGrid w:val="0"/>
                    <w:spacing w:after="0" w:line="360" w:lineRule="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3" w:hRule="atLeast"/>
                <w:jc w:val="center"/>
              </w:trPr>
              <w:tc>
                <w:tcPr>
                  <w:tcW w:w="1081" w:type="dxa"/>
                  <w:noWrap w:val="0"/>
                  <w:vAlign w:val="center"/>
                </w:tcPr>
                <w:p>
                  <w:pPr>
                    <w:tabs>
                      <w:tab w:val="left" w:pos="480"/>
                    </w:tabs>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486" w:type="dxa"/>
                  <w:noWrap w:val="0"/>
                  <w:vAlign w:val="top"/>
                </w:tcPr>
                <w:p>
                  <w:pPr>
                    <w:pStyle w:val="19"/>
                    <w:spacing w:before="44"/>
                    <w:ind w:left="89" w:leftChars="0" w:right="80" w:righ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西北面厂界外</w:t>
                  </w:r>
                  <w:r>
                    <w:rPr>
                      <w:rFonts w:hint="default" w:ascii="Times New Roman" w:hAnsi="Times New Roman" w:cs="Times New Roman"/>
                      <w:color w:val="000000" w:themeColor="text1"/>
                      <w:sz w:val="21"/>
                      <w:szCs w:val="21"/>
                      <w14:textFill>
                        <w14:solidFill>
                          <w14:schemeClr w14:val="tx1"/>
                        </w14:solidFill>
                      </w14:textFill>
                    </w:rPr>
                    <w:t xml:space="preserve">1m </w:t>
                  </w: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2484" w:type="dxa"/>
                  <w:noWrap w:val="0"/>
                  <w:vAlign w:val="center"/>
                </w:tcPr>
                <w:p>
                  <w:pPr>
                    <w:widowControl w:val="0"/>
                    <w:snapToGrid w:val="0"/>
                    <w:spacing w:before="0" w:line="36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2天</w:t>
                  </w:r>
                </w:p>
              </w:tc>
              <w:tc>
                <w:tcPr>
                  <w:tcW w:w="2471" w:type="dxa"/>
                  <w:vMerge w:val="continue"/>
                  <w:noWrap w:val="0"/>
                  <w:vAlign w:val="center"/>
                </w:tcPr>
                <w:p>
                  <w:pPr>
                    <w:pStyle w:val="16"/>
                    <w:adjustRightInd/>
                    <w:snapToGrid w:val="0"/>
                    <w:spacing w:after="0" w:line="360" w:lineRule="auto"/>
                    <w:rPr>
                      <w:rFonts w:hint="default" w:ascii="Times New Roman" w:hAnsi="Times New Roman" w:cs="Times New Roman"/>
                      <w:color w:val="000000" w:themeColor="text1"/>
                      <w:sz w:val="21"/>
                      <w:szCs w:val="21"/>
                      <w14:textFill>
                        <w14:solidFill>
                          <w14:schemeClr w14:val="tx1"/>
                        </w14:solidFill>
                      </w14:textFill>
                    </w:rPr>
                  </w:pPr>
                </w:p>
              </w:tc>
            </w:tr>
          </w:tbl>
          <w:p>
            <w:pPr>
              <w:snapToGrid w:val="0"/>
              <w:spacing w:before="63" w:beforeLines="20" w:line="360" w:lineRule="auto"/>
              <w:rPr>
                <w:rFonts w:hint="default" w:ascii="Times New Roman" w:hAnsi="Times New Roman" w:cs="Times New Roman"/>
                <w:color w:val="000000" w:themeColor="text1"/>
                <w:sz w:val="24"/>
                <w:szCs w:val="24"/>
                <w14:textFill>
                  <w14:solidFill>
                    <w14:schemeClr w14:val="tx1"/>
                  </w14:solidFill>
                </w14:textFill>
              </w:rPr>
            </w:pPr>
          </w:p>
        </w:tc>
      </w:tr>
    </w:tbl>
    <w:p>
      <w:pPr>
        <w:snapToGrid w:val="0"/>
        <w:outlineLvl w:val="9"/>
        <w:rPr>
          <w:rFonts w:hint="default" w:ascii="Times New Roman" w:hAnsi="Times New Roman" w:cs="Times New Roman"/>
          <w:b/>
          <w:color w:val="000000" w:themeColor="text1"/>
          <w:sz w:val="30"/>
          <w:szCs w:val="30"/>
          <w14:textFill>
            <w14:solidFill>
              <w14:schemeClr w14:val="tx1"/>
            </w14:solidFill>
          </w14:textFill>
        </w:rPr>
        <w:sectPr>
          <w:pgSz w:w="11850" w:h="16783"/>
          <w:pgMar w:top="1797" w:right="1474" w:bottom="1155" w:left="1474" w:header="851" w:footer="992" w:gutter="0"/>
          <w:pgNumType w:fmt="decimal"/>
          <w:cols w:space="720" w:num="1"/>
          <w:docGrid w:type="lines" w:linePitch="319" w:charSpace="0"/>
        </w:sectPr>
      </w:pPr>
    </w:p>
    <w:p>
      <w:pPr>
        <w:snapToGrid w:val="0"/>
        <w:spacing w:line="360" w:lineRule="auto"/>
        <w:outlineLvl w:val="0"/>
        <w:rPr>
          <w:rFonts w:hint="default" w:ascii="Times New Roman" w:hAnsi="Times New Roman" w:cs="Times New Roman"/>
          <w:b/>
          <w:color w:val="000000" w:themeColor="text1"/>
          <w:sz w:val="30"/>
          <w:szCs w:val="30"/>
          <w14:textFill>
            <w14:solidFill>
              <w14:schemeClr w14:val="tx1"/>
            </w14:solidFill>
          </w14:textFill>
        </w:rPr>
      </w:pPr>
      <w:bookmarkStart w:id="23" w:name="_Toc19565"/>
      <w:bookmarkStart w:id="24" w:name="_Toc20688"/>
      <w:bookmarkStart w:id="25" w:name="_Toc24271"/>
      <w:r>
        <w:rPr>
          <w:rFonts w:hint="default" w:ascii="Times New Roman" w:hAnsi="Times New Roman" w:cs="Times New Roman"/>
          <w:b/>
          <w:color w:val="000000" w:themeColor="text1"/>
          <w:sz w:val="30"/>
          <w:szCs w:val="30"/>
          <w14:textFill>
            <w14:solidFill>
              <w14:schemeClr w14:val="tx1"/>
            </w14:solidFill>
          </w14:textFill>
        </w:rPr>
        <w:t>表七  验收监测结果</w:t>
      </w:r>
      <w:bookmarkEnd w:id="23"/>
      <w:bookmarkEnd w:id="24"/>
      <w:bookmarkEnd w:id="25"/>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0" w:hRule="atLeast"/>
          <w:jc w:val="center"/>
        </w:trPr>
        <w:tc>
          <w:tcPr>
            <w:tcW w:w="9471" w:type="dxa"/>
          </w:tcPr>
          <w:p>
            <w:pPr>
              <w:widowControl/>
              <w:adjustRightInd w:val="0"/>
              <w:snapToGrid w:val="0"/>
              <w:spacing w:after="159" w:afterLines="50" w:line="360" w:lineRule="auto"/>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验收监测期间生产工况记录</w:t>
            </w:r>
          </w:p>
          <w:p>
            <w:pPr>
              <w:widowControl/>
              <w:adjustRightInd w:val="0"/>
              <w:snapToGrid w:val="0"/>
              <w:spacing w:after="159" w:afterLines="50"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本项目采用原辅材料核算法进行生产工况记录，原辅材料消耗量统计期间（201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年10月至11月）各种生产设备运转良好，工况稳定，具体工况监测情况见表7-1。</w:t>
            </w:r>
          </w:p>
          <w:p>
            <w:pPr>
              <w:widowControl/>
              <w:adjustRightInd w:val="0"/>
              <w:snapToGrid w:val="0"/>
              <w:spacing w:after="159" w:afterLines="50"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表7-1  项目原辅材料核算发生产工况记录情况表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2272"/>
              <w:gridCol w:w="2262"/>
              <w:gridCol w:w="2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3" w:type="dxa"/>
                  <w:gridSpan w:val="2"/>
                  <w:vMerge w:val="restart"/>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w:t>
                  </w:r>
                </w:p>
              </w:tc>
              <w:tc>
                <w:tcPr>
                  <w:tcW w:w="4515" w:type="dxa"/>
                  <w:gridSpan w:val="2"/>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3" w:type="dxa"/>
                  <w:gridSpan w:val="2"/>
                  <w:vMerge w:val="continue"/>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262"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w:t>
                  </w:r>
                  <w:r>
                    <w:rPr>
                      <w:rFonts w:hint="default"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年10月</w:t>
                  </w:r>
                </w:p>
              </w:tc>
              <w:tc>
                <w:tcPr>
                  <w:tcW w:w="2253"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w:t>
                  </w:r>
                  <w:r>
                    <w:rPr>
                      <w:rFonts w:hint="default"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年11月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dxa"/>
                  <w:vMerge w:val="restart"/>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原材料消耗量</w:t>
                  </w:r>
                </w:p>
              </w:tc>
              <w:tc>
                <w:tcPr>
                  <w:tcW w:w="2272" w:type="dxa"/>
                  <w:noWrap w:val="0"/>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铁件</w:t>
                  </w:r>
                </w:p>
              </w:tc>
              <w:tc>
                <w:tcPr>
                  <w:tcW w:w="2262"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1.15t</w:t>
                  </w:r>
                </w:p>
              </w:tc>
              <w:tc>
                <w:tcPr>
                  <w:tcW w:w="2253"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1.17t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dxa"/>
                  <w:vMerge w:val="continue"/>
                  <w:noWrap w:val="0"/>
                  <w:vAlign w:val="center"/>
                </w:tcPr>
                <w:p>
                  <w:pPr>
                    <w:widowControl/>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2272"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喷涂粉</w:t>
                  </w:r>
                </w:p>
              </w:tc>
              <w:tc>
                <w:tcPr>
                  <w:tcW w:w="2262"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t</w:t>
                  </w:r>
                </w:p>
              </w:tc>
              <w:tc>
                <w:tcPr>
                  <w:tcW w:w="2253" w:type="dxa"/>
                  <w:noWrap w:val="0"/>
                  <w:vAlign w:val="center"/>
                </w:tcPr>
                <w:p>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17</w:t>
                  </w:r>
                  <w:r>
                    <w:rPr>
                      <w:rFonts w:hint="default" w:ascii="Times New Roman" w:hAnsi="Times New Roman" w:cs="Times New Roman"/>
                      <w:color w:val="000000" w:themeColor="text1"/>
                      <w:szCs w:val="21"/>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dxa"/>
                  <w:noWrap w:val="0"/>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产品产量</w:t>
                  </w:r>
                </w:p>
              </w:tc>
              <w:tc>
                <w:tcPr>
                  <w:tcW w:w="2272" w:type="dxa"/>
                  <w:noWrap w:val="0"/>
                  <w:vAlign w:val="center"/>
                </w:tcPr>
                <w:p>
                  <w:pPr>
                    <w:widowControl/>
                    <w:adjustRightInd w:val="0"/>
                    <w:snapToGrid w:val="0"/>
                    <w:spacing w:line="36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楼梯扶手</w:t>
                  </w:r>
                </w:p>
              </w:tc>
              <w:tc>
                <w:tcPr>
                  <w:tcW w:w="2262" w:type="dxa"/>
                  <w:noWrap w:val="0"/>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1.15t</w:t>
                  </w:r>
                </w:p>
              </w:tc>
              <w:tc>
                <w:tcPr>
                  <w:tcW w:w="2253" w:type="dxa"/>
                  <w:noWrap w:val="0"/>
                  <w:vAlign w:val="center"/>
                </w:tcPr>
                <w:p>
                  <w:pPr>
                    <w:widowControl/>
                    <w:adjustRightInd w:val="0"/>
                    <w:snapToGrid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1.17t</w:t>
                  </w:r>
                </w:p>
              </w:tc>
            </w:tr>
          </w:tbl>
          <w:p>
            <w:pPr>
              <w:widowControl/>
              <w:adjustRightInd w:val="0"/>
              <w:snapToGrid w:val="0"/>
              <w:spacing w:after="159" w:afterLines="50" w:line="360" w:lineRule="auto"/>
              <w:ind w:firstLine="480" w:firstLineChars="200"/>
              <w:jc w:val="left"/>
              <w:rPr>
                <w:rFonts w:hint="default" w:ascii="Times New Roman" w:hAnsi="Times New Roman" w:eastAsia="仿宋_GB2312"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如表7-1所示，本项目平均月消耗</w:t>
            </w:r>
            <w:r>
              <w:rPr>
                <w:rFonts w:hint="default" w:ascii="Times New Roman" w:hAnsi="Times New Roman" w:cs="Times New Roman"/>
                <w:color w:val="000000" w:themeColor="text1"/>
                <w:sz w:val="24"/>
                <w:szCs w:val="24"/>
                <w:lang w:val="en-US" w:eastAsia="zh-CN"/>
                <w14:textFill>
                  <w14:solidFill>
                    <w14:schemeClr w14:val="tx1"/>
                  </w14:solidFill>
                </w14:textFill>
              </w:rPr>
              <w:t>铁件</w:t>
            </w:r>
            <w:r>
              <w:rPr>
                <w:rFonts w:hint="default" w:ascii="Times New Roman" w:hAnsi="Times New Roman" w:cs="Times New Roman"/>
                <w:color w:val="000000" w:themeColor="text1"/>
                <w:szCs w:val="21"/>
                <w:lang w:val="en-US" w:eastAsia="zh-CN"/>
                <w14:textFill>
                  <w14:solidFill>
                    <w14:schemeClr w14:val="tx1"/>
                  </w14:solidFill>
                </w14:textFill>
              </w:rPr>
              <w:t>1.16t</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喷涂粉0.16t</w:t>
            </w:r>
            <w:r>
              <w:rPr>
                <w:rFonts w:hint="default" w:ascii="Times New Roman" w:hAnsi="Times New Roman" w:cs="Times New Roman"/>
                <w:color w:val="000000" w:themeColor="text1"/>
                <w:sz w:val="24"/>
                <w:szCs w:val="24"/>
                <w14:textFill>
                  <w14:solidFill>
                    <w14:schemeClr w14:val="tx1"/>
                  </w14:solidFill>
                </w14:textFill>
              </w:rPr>
              <w:t>；平均月产</w:t>
            </w:r>
            <w:r>
              <w:rPr>
                <w:rFonts w:hint="default" w:ascii="Times New Roman" w:hAnsi="Times New Roman" w:cs="Times New Roman"/>
                <w:color w:val="000000" w:themeColor="text1"/>
                <w:sz w:val="24"/>
                <w:szCs w:val="24"/>
                <w:lang w:val="en-US" w:eastAsia="zh-CN"/>
                <w14:textFill>
                  <w14:solidFill>
                    <w14:schemeClr w14:val="tx1"/>
                  </w14:solidFill>
                </w14:textFill>
              </w:rPr>
              <w:t>楼梯扶手1.16</w:t>
            </w:r>
            <w:r>
              <w:rPr>
                <w:rFonts w:hint="default" w:ascii="Times New Roman" w:hAnsi="Times New Roman" w:cs="Times New Roman"/>
                <w:color w:val="000000" w:themeColor="text1"/>
                <w:sz w:val="24"/>
                <w:szCs w:val="24"/>
                <w14:textFill>
                  <w14:solidFill>
                    <w14:schemeClr w14:val="tx1"/>
                  </w14:solidFill>
                </w14:textFill>
              </w:rPr>
              <w:t>。按年12个月计，则本项目消耗</w:t>
            </w:r>
            <w:r>
              <w:rPr>
                <w:rFonts w:hint="default" w:ascii="Times New Roman" w:hAnsi="Times New Roman" w:cs="Times New Roman"/>
                <w:color w:val="000000" w:themeColor="text1"/>
                <w:sz w:val="24"/>
                <w:szCs w:val="24"/>
                <w:lang w:val="en-US" w:eastAsia="zh-CN"/>
                <w14:textFill>
                  <w14:solidFill>
                    <w14:schemeClr w14:val="tx1"/>
                  </w14:solidFill>
                </w14:textFill>
              </w:rPr>
              <w:t>铁件14t</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lang w:val="en-US" w:eastAsia="zh-CN"/>
                <w14:textFill>
                  <w14:solidFill>
                    <w14:schemeClr w14:val="tx1"/>
                  </w14:solidFill>
                </w14:textFill>
              </w:rPr>
              <w:t>喷涂粉</w:t>
            </w:r>
            <w:r>
              <w:rPr>
                <w:rFonts w:hint="default" w:ascii="Times New Roman" w:hAnsi="Times New Roman" w:cs="Times New Roman"/>
                <w:color w:val="000000" w:themeColor="text1"/>
                <w:sz w:val="24"/>
                <w:szCs w:val="24"/>
                <w14:textFill>
                  <w14:solidFill>
                    <w14:schemeClr w14:val="tx1"/>
                  </w14:solidFill>
                </w14:textFill>
              </w:rPr>
              <w:t>2t/a；</w:t>
            </w:r>
            <w:r>
              <w:rPr>
                <w:rFonts w:hint="default" w:ascii="Times New Roman" w:hAnsi="Times New Roman" w:cs="Times New Roman"/>
                <w:color w:val="000000" w:themeColor="text1"/>
                <w:sz w:val="24"/>
                <w:szCs w:val="24"/>
                <w:lang w:eastAsia="zh-CN"/>
                <w14:textFill>
                  <w14:solidFill>
                    <w14:schemeClr w14:val="tx1"/>
                  </w14:solidFill>
                </w14:textFill>
              </w:rPr>
              <w:t>年产楼梯扶手14吨</w:t>
            </w:r>
            <w:r>
              <w:rPr>
                <w:rFonts w:hint="default" w:ascii="Times New Roman" w:hAnsi="Times New Roman" w:cs="Times New Roman"/>
                <w:color w:val="000000" w:themeColor="text1"/>
                <w:sz w:val="24"/>
                <w:szCs w:val="24"/>
                <w14:textFill>
                  <w14:solidFill>
                    <w14:schemeClr w14:val="tx1"/>
                  </w14:solidFill>
                </w14:textFill>
              </w:rPr>
              <w:t>。本项目计划</w:t>
            </w:r>
            <w:r>
              <w:rPr>
                <w:rFonts w:hint="default" w:ascii="Times New Roman" w:hAnsi="Times New Roman" w:cs="Times New Roman"/>
                <w:color w:val="000000" w:themeColor="text1"/>
                <w:sz w:val="24"/>
                <w:szCs w:val="24"/>
                <w:lang w:eastAsia="zh-CN"/>
                <w14:textFill>
                  <w14:solidFill>
                    <w14:schemeClr w14:val="tx1"/>
                  </w14:solidFill>
                </w14:textFill>
              </w:rPr>
              <w:t>年产楼梯扶手14吨</w:t>
            </w:r>
            <w:r>
              <w:rPr>
                <w:rFonts w:hint="default" w:ascii="Times New Roman" w:hAnsi="Times New Roman" w:cs="Times New Roman"/>
                <w:color w:val="000000" w:themeColor="text1"/>
                <w:sz w:val="24"/>
                <w14:textFill>
                  <w14:solidFill>
                    <w14:schemeClr w14:val="tx1"/>
                  </w14:solidFill>
                </w14:textFill>
              </w:rPr>
              <w:t>，根据项目目前的生产情况，能够达到设计生产能力的75%以上</w:t>
            </w:r>
            <w:r>
              <w:rPr>
                <w:rFonts w:hint="default" w:ascii="Times New Roman" w:hAnsi="Times New Roman"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71" w:type="dxa"/>
          </w:tcPr>
          <w:p>
            <w:pPr>
              <w:widowControl/>
              <w:adjustRightInd w:val="0"/>
              <w:snapToGrid w:val="0"/>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验收监测结果</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年11月0</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日-11月0</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日，委托</w:t>
            </w:r>
            <w:r>
              <w:rPr>
                <w:rFonts w:hint="default" w:ascii="Times New Roman" w:hAnsi="Times New Roman" w:cs="Times New Roman"/>
                <w:color w:val="000000" w:themeColor="text1"/>
                <w:sz w:val="24"/>
                <w:szCs w:val="24"/>
                <w:lang w:eastAsia="zh-CN"/>
                <w14:textFill>
                  <w14:solidFill>
                    <w14:schemeClr w14:val="tx1"/>
                  </w14:solidFill>
                </w14:textFill>
              </w:rPr>
              <w:t>广东准星检测有限公司</w:t>
            </w:r>
            <w:r>
              <w:rPr>
                <w:rFonts w:hint="default" w:ascii="Times New Roman" w:hAnsi="Times New Roman" w:cs="Times New Roman"/>
                <w:color w:val="000000" w:themeColor="text1"/>
                <w:sz w:val="24"/>
                <w:szCs w:val="24"/>
                <w14:textFill>
                  <w14:solidFill>
                    <w14:schemeClr w14:val="tx1"/>
                  </w14:solidFill>
                </w14:textFill>
              </w:rPr>
              <w:t>组织技术人员对该项</w:t>
            </w:r>
            <w:r>
              <w:rPr>
                <w:rFonts w:hint="default" w:ascii="Times New Roman" w:hAnsi="Times New Roman" w:cs="Times New Roman"/>
                <w:color w:val="000000" w:themeColor="text1"/>
                <w:sz w:val="24"/>
                <w:szCs w:val="24"/>
                <w:lang w:val="en-US" w:eastAsia="zh-CN"/>
                <w14:textFill>
                  <w14:solidFill>
                    <w14:schemeClr w14:val="tx1"/>
                  </w14:solidFill>
                </w14:textFill>
              </w:rPr>
              <w:t>无组织排放废气</w:t>
            </w:r>
            <w:r>
              <w:rPr>
                <w:rFonts w:hint="default" w:ascii="Times New Roman" w:hAnsi="Times New Roman" w:cs="Times New Roman"/>
                <w:color w:val="000000" w:themeColor="text1"/>
                <w:sz w:val="24"/>
                <w:szCs w:val="24"/>
                <w14:textFill>
                  <w14:solidFill>
                    <w14:schemeClr w14:val="tx1"/>
                  </w14:solidFill>
                </w14:textFill>
              </w:rPr>
              <w:t>进行监测</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本项目无组织排放废气主要为颗粒物和VOCs，共设置了4个监测点位，其中上风向1个，下风向3个，每天监测3次，。具体监测结果如表7-2。</w:t>
            </w:r>
          </w:p>
          <w:p>
            <w:pPr>
              <w:pStyle w:val="2"/>
              <w:ind w:left="0" w:leftChars="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p>
          <w:p>
            <w:pPr>
              <w:widowControl w:val="0"/>
              <w:spacing w:before="0" w:line="360" w:lineRule="auto"/>
              <w:ind w:firstLine="0" w:firstLineChars="0"/>
              <w:jc w:val="center"/>
              <w:rPr>
                <w:rFonts w:hint="default" w:ascii="Times New Roman" w:hAnsi="Times New Roman" w:eastAsia="宋体" w:cs="Times New Roman"/>
                <w:b/>
                <w:bCs/>
                <w:color w:val="000000" w:themeColor="text1"/>
                <w:kern w:val="2"/>
                <w:sz w:val="21"/>
                <w:szCs w:val="16"/>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16"/>
                <w:lang w:val="en-US" w:eastAsia="zh-CN" w:bidi="ar-SA"/>
                <w14:textFill>
                  <w14:solidFill>
                    <w14:schemeClr w14:val="tx1"/>
                  </w14:solidFill>
                </w14:textFill>
              </w:rPr>
              <w:t xml:space="preserve">表7-2  </w:t>
            </w:r>
            <w:r>
              <w:rPr>
                <w:rFonts w:hint="default" w:ascii="Times New Roman" w:hAnsi="Times New Roman" w:cs="Times New Roman"/>
                <w:b/>
                <w:bCs/>
                <w:color w:val="000000" w:themeColor="text1"/>
                <w:kern w:val="2"/>
                <w:sz w:val="21"/>
                <w:szCs w:val="16"/>
                <w:lang w:val="en-US" w:eastAsia="zh-CN" w:bidi="ar-SA"/>
                <w14:textFill>
                  <w14:solidFill>
                    <w14:schemeClr w14:val="tx1"/>
                  </w14:solidFill>
                </w14:textFill>
              </w:rPr>
              <w:t>无组织废气</w:t>
            </w:r>
            <w:r>
              <w:rPr>
                <w:rFonts w:hint="default" w:ascii="Times New Roman" w:hAnsi="Times New Roman" w:eastAsia="宋体" w:cs="Times New Roman"/>
                <w:b/>
                <w:bCs/>
                <w:color w:val="000000" w:themeColor="text1"/>
                <w:kern w:val="2"/>
                <w:sz w:val="21"/>
                <w:szCs w:val="16"/>
                <w:lang w:val="en-US" w:eastAsia="zh-CN" w:bidi="ar-SA"/>
                <w14:textFill>
                  <w14:solidFill>
                    <w14:schemeClr w14:val="tx1"/>
                  </w14:solidFill>
                </w14:textFill>
              </w:rPr>
              <w:t>监测结果汇总表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273"/>
              <w:gridCol w:w="820"/>
              <w:gridCol w:w="1190"/>
              <w:gridCol w:w="1145"/>
              <w:gridCol w:w="1174"/>
              <w:gridCol w:w="1180"/>
              <w:gridCol w:w="7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检测点位</w:t>
                  </w:r>
                </w:p>
              </w:tc>
              <w:tc>
                <w:tcPr>
                  <w:tcW w:w="2093" w:type="dxa"/>
                  <w:gridSpan w:val="2"/>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检测日期/频次</w:t>
                  </w:r>
                </w:p>
              </w:tc>
              <w:tc>
                <w:tcPr>
                  <w:tcW w:w="2335" w:type="dxa"/>
                  <w:gridSpan w:val="2"/>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检测结果</w:t>
                  </w:r>
                </w:p>
              </w:tc>
              <w:tc>
                <w:tcPr>
                  <w:tcW w:w="2354" w:type="dxa"/>
                  <w:gridSpan w:val="2"/>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标准限值</w:t>
                  </w:r>
                </w:p>
              </w:tc>
              <w:tc>
                <w:tcPr>
                  <w:tcW w:w="73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2093" w:type="dxa"/>
                  <w:gridSpan w:val="2"/>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颗粒物</w:t>
                  </w:r>
                </w:p>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（mg/m</w:t>
                  </w:r>
                  <w:r>
                    <w:rPr>
                      <w:rFonts w:hint="default" w:ascii="Times New Roman" w:hAnsi="Times New Roman" w:eastAsia="Times New Roman" w:cs="Times New Roman"/>
                      <w:color w:val="000000" w:themeColor="text1"/>
                      <w:kern w:val="0"/>
                      <w:sz w:val="21"/>
                      <w:szCs w:val="21"/>
                      <w:vertAlign w:val="superscript"/>
                      <w:lang w:val="zh-CN" w:bidi="zh-CN"/>
                      <w14:textFill>
                        <w14:solidFill>
                          <w14:schemeClr w14:val="tx1"/>
                        </w14:solidFill>
                      </w14:textFill>
                    </w:rPr>
                    <w:t>3</w:t>
                  </w: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总 VOCs</w:t>
                  </w:r>
                </w:p>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（mg/m</w:t>
                  </w:r>
                  <w:r>
                    <w:rPr>
                      <w:rFonts w:hint="default" w:ascii="Times New Roman" w:hAnsi="Times New Roman" w:eastAsia="Times New Roman" w:cs="Times New Roman"/>
                      <w:color w:val="000000" w:themeColor="text1"/>
                      <w:kern w:val="0"/>
                      <w:sz w:val="21"/>
                      <w:szCs w:val="21"/>
                      <w:vertAlign w:val="superscript"/>
                      <w:lang w:val="zh-CN" w:bidi="zh-CN"/>
                      <w14:textFill>
                        <w14:solidFill>
                          <w14:schemeClr w14:val="tx1"/>
                        </w14:solidFill>
                      </w14:textFill>
                    </w:rPr>
                    <w:t>3</w:t>
                  </w: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颗粒物</w:t>
                  </w:r>
                </w:p>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（mg/m</w:t>
                  </w:r>
                  <w:r>
                    <w:rPr>
                      <w:rFonts w:hint="default" w:ascii="Times New Roman" w:hAnsi="Times New Roman" w:eastAsia="Times New Roman" w:cs="Times New Roman"/>
                      <w:color w:val="000000" w:themeColor="text1"/>
                      <w:kern w:val="0"/>
                      <w:sz w:val="21"/>
                      <w:szCs w:val="21"/>
                      <w:vertAlign w:val="superscript"/>
                      <w:lang w:val="zh-CN" w:bidi="zh-CN"/>
                      <w14:textFill>
                        <w14:solidFill>
                          <w14:schemeClr w14:val="tx1"/>
                        </w14:solidFill>
                      </w14:textFill>
                    </w:rPr>
                    <w:t>3</w:t>
                  </w: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总 VOCs</w:t>
                  </w:r>
                </w:p>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（mg/m</w:t>
                  </w:r>
                  <w:r>
                    <w:rPr>
                      <w:rFonts w:hint="default" w:ascii="Times New Roman" w:hAnsi="Times New Roman" w:eastAsia="Times New Roman" w:cs="Times New Roman"/>
                      <w:color w:val="000000" w:themeColor="text1"/>
                      <w:kern w:val="0"/>
                      <w:sz w:val="21"/>
                      <w:szCs w:val="21"/>
                      <w:vertAlign w:val="superscript"/>
                      <w:lang w:val="zh-CN" w:bidi="zh-CN"/>
                      <w14:textFill>
                        <w14:solidFill>
                          <w14:schemeClr w14:val="tx1"/>
                        </w14:solidFill>
                      </w14:textFill>
                    </w:rPr>
                    <w:t>3</w:t>
                  </w: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厂界无组织废气 1# 参照点</w:t>
                  </w:r>
                </w:p>
              </w:tc>
              <w:tc>
                <w:tcPr>
                  <w:tcW w:w="127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2019-11-05</w:t>
                  </w: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0.149</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0.06</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0.187</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0.03</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0.131</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0.156</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0.05</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2019-11-06</w:t>
                  </w: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0.223</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0.04</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0.186</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0.05</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0.112</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0.05</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0.174</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0.05</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厂界无组织废气 2# 检测点</w:t>
                  </w:r>
                </w:p>
              </w:tc>
              <w:tc>
                <w:tcPr>
                  <w:tcW w:w="127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2019-11-05</w:t>
                  </w: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0.374</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0.14</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0.224</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0.05</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0.224</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0.04</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0.274</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0.08</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2019-11-06</w:t>
                  </w: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0.335</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0.335</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0.09</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0.372</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0.06</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0.347</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厂界无组织废气 3# 检测点</w:t>
                  </w:r>
                </w:p>
              </w:tc>
              <w:tc>
                <w:tcPr>
                  <w:tcW w:w="127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2019-11-05</w:t>
                  </w: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0.262</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0.11</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0.187</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0.09</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0.187</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0.06</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0.212</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0.09</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restart"/>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2019-11-06</w:t>
                  </w: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0.372</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0.12</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0.521</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0.06</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989"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0.410</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0.11</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nil"/>
                    <w:bottom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nil"/>
                    <w:bottom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0.434</w:t>
                  </w:r>
                </w:p>
              </w:tc>
              <w:tc>
                <w:tcPr>
                  <w:tcW w:w="1145"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0.10</w:t>
                  </w:r>
                </w:p>
              </w:tc>
              <w:tc>
                <w:tcPr>
                  <w:tcW w:w="1174"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厂界无组织废气 4# 检测点</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2019-11-05</w:t>
                  </w:r>
                </w:p>
              </w:tc>
              <w:tc>
                <w:tcPr>
                  <w:tcW w:w="820" w:type="dxa"/>
                  <w:tcBorders>
                    <w:left w:val="single" w:color="auto" w:sz="4" w:space="0"/>
                  </w:tcBorders>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0.224</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tcBorders>
                    <w:left w:val="single" w:color="auto" w:sz="4" w:space="0"/>
                  </w:tcBorders>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0.224</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tcBorders>
                    <w:left w:val="single" w:color="auto" w:sz="4" w:space="0"/>
                  </w:tcBorders>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0.486</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tcBorders>
                    <w:left w:val="single" w:color="auto" w:sz="4" w:space="0"/>
                  </w:tcBorders>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0.311</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restart"/>
                  <w:tcBorders>
                    <w:top w:val="single" w:color="auto" w:sz="4" w:space="0"/>
                    <w:left w:val="single" w:color="auto" w:sz="4" w:space="0"/>
                    <w:bottom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2019-11-06</w:t>
                  </w:r>
                </w:p>
              </w:tc>
              <w:tc>
                <w:tcPr>
                  <w:tcW w:w="82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第一次</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0.261</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0.09</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single" w:color="auto" w:sz="4" w:space="0"/>
                    <w:left w:val="single" w:color="auto" w:sz="4" w:space="0"/>
                    <w:bottom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第二次</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0.223</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single" w:color="auto" w:sz="4" w:space="0"/>
                    <w:left w:val="single" w:color="auto" w:sz="4" w:space="0"/>
                    <w:bottom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第三次</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0.130</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0.07</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1273" w:type="dxa"/>
                  <w:vMerge w:val="continue"/>
                  <w:tcBorders>
                    <w:top w:val="single" w:color="auto" w:sz="4" w:space="0"/>
                    <w:left w:val="single" w:color="auto" w:sz="4" w:space="0"/>
                    <w:bottom w:val="single" w:color="auto" w:sz="4" w:space="0"/>
                  </w:tcBorders>
                  <w:vAlign w:val="center"/>
                </w:tcPr>
                <w:p>
                  <w:pPr>
                    <w:autoSpaceDE w:val="0"/>
                    <w:autoSpaceDN w:val="0"/>
                    <w:spacing w:before="0" w:after="0" w:line="240" w:lineRule="auto"/>
                    <w:ind w:left="0" w:right="0"/>
                    <w:jc w:val="cente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p>
              </w:tc>
              <w:tc>
                <w:tcPr>
                  <w:tcW w:w="82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平均值</w:t>
                  </w:r>
                </w:p>
              </w:tc>
              <w:tc>
                <w:tcPr>
                  <w:tcW w:w="119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0.205</w:t>
                  </w:r>
                </w:p>
              </w:tc>
              <w:tc>
                <w:tcPr>
                  <w:tcW w:w="1145"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0.08</w:t>
                  </w:r>
                </w:p>
              </w:tc>
              <w:tc>
                <w:tcPr>
                  <w:tcW w:w="1174"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1.0</w:t>
                  </w:r>
                </w:p>
              </w:tc>
              <w:tc>
                <w:tcPr>
                  <w:tcW w:w="1180"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2.0</w:t>
                  </w:r>
                </w:p>
              </w:tc>
              <w:tc>
                <w:tcPr>
                  <w:tcW w:w="733" w:type="dxa"/>
                  <w:vAlign w:val="center"/>
                </w:tcPr>
                <w:p>
                  <w:pPr>
                    <w:autoSpaceDE w:val="0"/>
                    <w:autoSpaceDN w:val="0"/>
                    <w:spacing w:before="0" w:after="0" w:line="240" w:lineRule="auto"/>
                    <w:ind w:left="0" w:leftChars="0" w:right="0" w:rightChars="0"/>
                    <w:jc w:val="center"/>
                    <w:rPr>
                      <w:rFonts w:hint="default" w:ascii="Times New Roman" w:hAnsi="Times New Roman" w:eastAsia="Times New Roman" w:cs="Times New Roman"/>
                      <w:color w:val="000000" w:themeColor="text1"/>
                      <w:kern w:val="0"/>
                      <w:sz w:val="21"/>
                      <w:szCs w:val="21"/>
                      <w:lang w:val="zh-CN" w:eastAsia="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504" w:type="dxa"/>
                  <w:gridSpan w:val="8"/>
                  <w:vAlign w:val="top"/>
                </w:tcPr>
                <w:p>
                  <w:pPr>
                    <w:autoSpaceDE w:val="0"/>
                    <w:autoSpaceDN w:val="0"/>
                    <w:spacing w:before="0" w:after="0" w:line="240" w:lineRule="auto"/>
                    <w:ind w:left="0" w:right="0"/>
                    <w:jc w:val="both"/>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备注：1.颗粒物的标准限值参考广东省地方标准《大气污染物排放限值》（DB44/27-2001）表 2 工艺废气大气污染物排放限值第二时段无组织排放监控浓度限值，总 VOCs 的标准限值参考广东省地方标准《家具制造行业挥发性有机化合物排放标准》（DB44/814-2010）表 2 无组织排放监控点浓度限值；</w:t>
                  </w:r>
                </w:p>
                <w:p>
                  <w:pPr>
                    <w:autoSpaceDE w:val="0"/>
                    <w:autoSpaceDN w:val="0"/>
                    <w:spacing w:before="0" w:after="0" w:line="240" w:lineRule="auto"/>
                    <w:ind w:left="0" w:leftChars="0" w:right="0" w:rightChars="0"/>
                    <w:jc w:val="both"/>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Times New Roman" w:cs="Times New Roman"/>
                      <w:color w:val="000000" w:themeColor="text1"/>
                      <w:kern w:val="0"/>
                      <w:sz w:val="21"/>
                      <w:szCs w:val="21"/>
                      <w:lang w:val="zh-CN" w:bidi="zh-CN"/>
                      <w14:textFill>
                        <w14:solidFill>
                          <w14:schemeClr w14:val="tx1"/>
                        </w14:solidFill>
                      </w14:textFill>
                    </w:rPr>
                    <w:t>2.“—”表示未有该项目的参考限值。</w:t>
                  </w:r>
                </w:p>
              </w:tc>
            </w:tr>
          </w:tbl>
          <w:p>
            <w:pPr>
              <w:pStyle w:val="2"/>
              <w:rPr>
                <w:rFonts w:hint="default" w:ascii="Times New Roman" w:hAnsi="Times New Roman" w:cs="Times New Roman"/>
                <w:color w:val="000000" w:themeColor="text1"/>
                <w:lang w:val="en-US" w:eastAsia="zh-CN"/>
                <w14:textFill>
                  <w14:solidFill>
                    <w14:schemeClr w14:val="tx1"/>
                  </w14:solidFill>
                </w14:textFill>
              </w:rPr>
            </w:pPr>
          </w:p>
          <w:p>
            <w:pPr>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val="en-US" w:eastAsia="zh-CN"/>
                <w14:textFill>
                  <w14:solidFill>
                    <w14:schemeClr w14:val="tx1"/>
                  </w14:solidFill>
                </w14:textFill>
              </w:rPr>
              <w:t>表7-2的无组织废气</w:t>
            </w:r>
            <w:r>
              <w:rPr>
                <w:rFonts w:hint="default" w:ascii="Times New Roman" w:hAnsi="Times New Roman" w:cs="Times New Roman"/>
                <w:color w:val="000000" w:themeColor="text1"/>
                <w:sz w:val="24"/>
                <w:szCs w:val="24"/>
                <w14:textFill>
                  <w14:solidFill>
                    <w14:schemeClr w14:val="tx1"/>
                  </w14:solidFill>
                </w14:textFill>
              </w:rPr>
              <w:t>监测结果可知，工业废气（无组织）各检测点位颗粒物的检测结果均符合广东省地方标准《大气污染物排放限值》（DB44/27-2001）第二时段无组织排放监控浓度限值要求，总 VOCs 的检测结果均符合广东省地方标准《家具制造行业挥发性有机化合物排放标准》（DB44/814-2010）表2无组织排放监控点浓度限值要求。</w:t>
            </w:r>
          </w:p>
          <w:p>
            <w:pPr>
              <w:widowControl w:val="0"/>
              <w:spacing w:before="0" w:line="360" w:lineRule="auto"/>
              <w:ind w:firstLine="480" w:firstLineChars="200"/>
              <w:jc w:val="both"/>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（2）有组织废气</w:t>
            </w: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2018年1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日-11月0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日，委托</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广东准星检测有限公司</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组织技术人员对该项目有组织废气排放口排放的VOCs进行监测，每天监测3次，具体监测结果见表7-</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widowControl w:val="0"/>
              <w:spacing w:before="0"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表7-</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有组织排放VOCs监测结果汇总表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2"/>
              <w:gridCol w:w="709"/>
              <w:gridCol w:w="1501"/>
              <w:gridCol w:w="962"/>
              <w:gridCol w:w="962"/>
              <w:gridCol w:w="962"/>
              <w:gridCol w:w="963"/>
              <w:gridCol w:w="853"/>
              <w:gridCol w:w="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检测点位</w:t>
                  </w:r>
                </w:p>
              </w:tc>
              <w:tc>
                <w:tcPr>
                  <w:tcW w:w="2210" w:type="dxa"/>
                  <w:gridSpan w:val="2"/>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检测项目</w:t>
                  </w:r>
                </w:p>
              </w:tc>
              <w:tc>
                <w:tcPr>
                  <w:tcW w:w="3849" w:type="dxa"/>
                  <w:gridSpan w:val="4"/>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检测结果</w:t>
                  </w:r>
                </w:p>
              </w:tc>
              <w:tc>
                <w:tcPr>
                  <w:tcW w:w="853"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标准限值</w:t>
                  </w:r>
                </w:p>
              </w:tc>
              <w:tc>
                <w:tcPr>
                  <w:tcW w:w="610"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3849" w:type="dxa"/>
                  <w:gridSpan w:val="4"/>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2019-12-02</w:t>
                  </w:r>
                </w:p>
              </w:tc>
              <w:tc>
                <w:tcPr>
                  <w:tcW w:w="853"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第一次</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第二次</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第三次</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平均值</w:t>
                  </w:r>
                </w:p>
              </w:tc>
              <w:tc>
                <w:tcPr>
                  <w:tcW w:w="853"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喷粉工序废气排放口G1</w:t>
                  </w:r>
                </w:p>
              </w:tc>
              <w:tc>
                <w:tcPr>
                  <w:tcW w:w="709"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总VOC</w:t>
                  </w:r>
                  <w:r>
                    <w:rPr>
                      <w:rFonts w:hint="default" w:ascii="Times New Roman" w:hAnsi="Times New Roman" w:cs="Times New Roman"/>
                      <w:color w:val="000000" w:themeColor="text1"/>
                      <w:vertAlign w:val="subscript"/>
                      <w:lang w:val="zh-CN" w:eastAsia="zh-CN"/>
                      <w14:textFill>
                        <w14:solidFill>
                          <w14:schemeClr w14:val="tx1"/>
                        </w14:solidFill>
                      </w14:textFill>
                    </w:rPr>
                    <w:t>S</w:t>
                  </w:r>
                </w:p>
              </w:tc>
              <w:tc>
                <w:tcPr>
                  <w:tcW w:w="1501"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排放浓度mg/m</w:t>
                  </w:r>
                  <w:r>
                    <w:rPr>
                      <w:rFonts w:hint="default" w:ascii="Times New Roman" w:hAnsi="Times New Roman" w:cs="Times New Roman"/>
                      <w:color w:val="000000" w:themeColor="text1"/>
                      <w:vertAlign w:val="superscript"/>
                      <w:lang w:val="zh-CN"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0.87</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0.78</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1.05</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0.90</w:t>
                  </w:r>
                </w:p>
              </w:tc>
              <w:tc>
                <w:tcPr>
                  <w:tcW w:w="85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30</w:t>
                  </w:r>
                </w:p>
              </w:tc>
              <w:tc>
                <w:tcPr>
                  <w:tcW w:w="61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709"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501"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排放速率kg/h</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3.84×10-3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3.42×10-3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4.61×10-3</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3.96×10-3</w:t>
                  </w:r>
                </w:p>
              </w:tc>
              <w:tc>
                <w:tcPr>
                  <w:tcW w:w="85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0.316*</w:t>
                  </w:r>
                </w:p>
              </w:tc>
              <w:tc>
                <w:tcPr>
                  <w:tcW w:w="61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2210" w:type="dxa"/>
                  <w:gridSpan w:val="2"/>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标干流量m</w:t>
                  </w:r>
                  <w:r>
                    <w:rPr>
                      <w:rFonts w:hint="default" w:ascii="Times New Roman" w:hAnsi="Times New Roman" w:cs="Times New Roman"/>
                      <w:color w:val="000000" w:themeColor="text1"/>
                      <w:vertAlign w:val="superscript"/>
                      <w:lang w:val="zh-CN" w:eastAsia="zh-CN"/>
                      <w14:textFill>
                        <w14:solidFill>
                          <w14:schemeClr w14:val="tx1"/>
                        </w14:solidFill>
                      </w14:textFill>
                    </w:rPr>
                    <w:t>3</w:t>
                  </w:r>
                  <w:r>
                    <w:rPr>
                      <w:rFonts w:hint="default" w:ascii="Times New Roman" w:hAnsi="Times New Roman" w:cs="Times New Roman"/>
                      <w:color w:val="000000" w:themeColor="text1"/>
                      <w:lang w:val="zh-CN" w:eastAsia="zh-CN"/>
                      <w14:textFill>
                        <w14:solidFill>
                          <w14:schemeClr w14:val="tx1"/>
                        </w14:solidFill>
                      </w14:textFill>
                    </w:rPr>
                    <w:t>/h</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4411</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4389</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4393</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4398</w:t>
                  </w:r>
                </w:p>
              </w:tc>
              <w:tc>
                <w:tcPr>
                  <w:tcW w:w="85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w:t>
                  </w:r>
                </w:p>
              </w:tc>
              <w:tc>
                <w:tcPr>
                  <w:tcW w:w="61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检测点位</w:t>
                  </w:r>
                </w:p>
              </w:tc>
              <w:tc>
                <w:tcPr>
                  <w:tcW w:w="2210" w:type="dxa"/>
                  <w:gridSpan w:val="2"/>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检测项目</w:t>
                  </w:r>
                </w:p>
              </w:tc>
              <w:tc>
                <w:tcPr>
                  <w:tcW w:w="3849" w:type="dxa"/>
                  <w:gridSpan w:val="4"/>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检测结果</w:t>
                  </w:r>
                </w:p>
              </w:tc>
              <w:tc>
                <w:tcPr>
                  <w:tcW w:w="853"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标准限值</w:t>
                  </w:r>
                </w:p>
              </w:tc>
              <w:tc>
                <w:tcPr>
                  <w:tcW w:w="610"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3849" w:type="dxa"/>
                  <w:gridSpan w:val="4"/>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2019-12-03</w:t>
                  </w:r>
                </w:p>
              </w:tc>
              <w:tc>
                <w:tcPr>
                  <w:tcW w:w="853"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2210" w:type="dxa"/>
                  <w:gridSpan w:val="2"/>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第一次</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第二次</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第三次</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平均值</w:t>
                  </w:r>
                </w:p>
              </w:tc>
              <w:tc>
                <w:tcPr>
                  <w:tcW w:w="853"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610"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喷粉工序废气排放口G1</w:t>
                  </w:r>
                </w:p>
              </w:tc>
              <w:tc>
                <w:tcPr>
                  <w:tcW w:w="709"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总VOC</w:t>
                  </w:r>
                  <w:r>
                    <w:rPr>
                      <w:rFonts w:hint="default" w:ascii="Times New Roman" w:hAnsi="Times New Roman" w:cs="Times New Roman"/>
                      <w:color w:val="000000" w:themeColor="text1"/>
                      <w:vertAlign w:val="subscript"/>
                      <w:lang w:val="zh-CN" w:eastAsia="zh-CN"/>
                      <w14:textFill>
                        <w14:solidFill>
                          <w14:schemeClr w14:val="tx1"/>
                        </w14:solidFill>
                      </w14:textFill>
                    </w:rPr>
                    <w:t>S</w:t>
                  </w:r>
                </w:p>
              </w:tc>
              <w:tc>
                <w:tcPr>
                  <w:tcW w:w="1501"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排放浓度mg/m</w:t>
                  </w:r>
                  <w:r>
                    <w:rPr>
                      <w:rFonts w:hint="default" w:ascii="Times New Roman" w:hAnsi="Times New Roman" w:cs="Times New Roman"/>
                      <w:color w:val="000000" w:themeColor="text1"/>
                      <w:vertAlign w:val="superscript"/>
                      <w:lang w:val="zh-CN" w:eastAsia="zh-CN"/>
                      <w14:textFill>
                        <w14:solidFill>
                          <w14:schemeClr w14:val="tx1"/>
                        </w14:solidFill>
                      </w14:textFill>
                    </w:rPr>
                    <w:t>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0.66</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0.93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0.74</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0.78</w:t>
                  </w:r>
                </w:p>
              </w:tc>
              <w:tc>
                <w:tcPr>
                  <w:tcW w:w="85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30</w:t>
                  </w:r>
                </w:p>
              </w:tc>
              <w:tc>
                <w:tcPr>
                  <w:tcW w:w="61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709"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501"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排放速率kg/h</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2.87×10-3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4.12×10-3</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3.20×10-3</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3.40×10-3</w:t>
                  </w:r>
                </w:p>
              </w:tc>
              <w:tc>
                <w:tcPr>
                  <w:tcW w:w="85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0.316*</w:t>
                  </w:r>
                </w:p>
              </w:tc>
              <w:tc>
                <w:tcPr>
                  <w:tcW w:w="61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982"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2210" w:type="dxa"/>
                  <w:gridSpan w:val="2"/>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标干流量m</w:t>
                  </w:r>
                  <w:r>
                    <w:rPr>
                      <w:rFonts w:hint="default" w:ascii="Times New Roman" w:hAnsi="Times New Roman" w:cs="Times New Roman"/>
                      <w:color w:val="000000" w:themeColor="text1"/>
                      <w:vertAlign w:val="superscript"/>
                      <w:lang w:val="zh-CN" w:eastAsia="zh-CN"/>
                      <w14:textFill>
                        <w14:solidFill>
                          <w14:schemeClr w14:val="tx1"/>
                        </w14:solidFill>
                      </w14:textFill>
                    </w:rPr>
                    <w:t>3</w:t>
                  </w:r>
                  <w:r>
                    <w:rPr>
                      <w:rFonts w:hint="default" w:ascii="Times New Roman" w:hAnsi="Times New Roman" w:cs="Times New Roman"/>
                      <w:color w:val="000000" w:themeColor="text1"/>
                      <w:lang w:val="zh-CN" w:eastAsia="zh-CN"/>
                      <w14:textFill>
                        <w14:solidFill>
                          <w14:schemeClr w14:val="tx1"/>
                        </w14:solidFill>
                      </w14:textFill>
                    </w:rPr>
                    <w:t>/h</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4344</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4432</w:t>
                  </w:r>
                </w:p>
              </w:tc>
              <w:tc>
                <w:tcPr>
                  <w:tcW w:w="962"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4326</w:t>
                  </w:r>
                </w:p>
              </w:tc>
              <w:tc>
                <w:tcPr>
                  <w:tcW w:w="96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4367</w:t>
                  </w:r>
                </w:p>
              </w:tc>
              <w:tc>
                <w:tcPr>
                  <w:tcW w:w="853"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w:t>
                  </w:r>
                </w:p>
              </w:tc>
              <w:tc>
                <w:tcPr>
                  <w:tcW w:w="61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504" w:type="dxa"/>
                  <w:gridSpan w:val="9"/>
                  <w:vAlign w:val="top"/>
                </w:tcPr>
                <w:p>
                  <w:pPr>
                    <w:jc w:val="both"/>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备注:1.标准限值参考广东省地方标准《家具制造行业挥发性有机化合物排放标准》（DB44/814-2010）表1排气筒 VOCs 排放限值Ⅱ时段标准；</w:t>
                  </w:r>
                </w:p>
                <w:p>
                  <w:pPr>
                    <w:numPr>
                      <w:ilvl w:val="0"/>
                      <w:numId w:val="9"/>
                    </w:numPr>
                    <w:jc w:val="both"/>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“—”表示未有该项目的参考限值；</w:t>
                  </w:r>
                </w:p>
                <w:p>
                  <w:pPr>
                    <w:numPr>
                      <w:ilvl w:val="0"/>
                      <w:numId w:val="9"/>
                    </w:numPr>
                    <w:jc w:val="both"/>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“*”表示排气筒高度低于 15m，且未高出周围 200m 半径范围的最高建筑 5m 以上，故其排放速率限值按外推法计算结果的 50%执行。</w:t>
                  </w:r>
                </w:p>
              </w:tc>
            </w:tr>
          </w:tbl>
          <w:p>
            <w:pPr>
              <w:pStyle w:val="2"/>
              <w:rPr>
                <w:rFonts w:hint="default" w:ascii="Times New Roman" w:hAnsi="Times New Roman" w:cs="Times New Roman"/>
                <w:color w:val="000000" w:themeColor="text1"/>
                <w:lang w:val="en-US" w:eastAsia="zh-CN"/>
                <w14:textFill>
                  <w14:solidFill>
                    <w14:schemeClr w14:val="tx1"/>
                  </w14:solidFill>
                </w14:textFill>
              </w:rPr>
            </w:pPr>
          </w:p>
          <w:p>
            <w:pPr>
              <w:widowControl w:val="0"/>
              <w:spacing w:before="0" w:line="360" w:lineRule="auto"/>
              <w:ind w:firstLine="480" w:firstLineChars="200"/>
              <w:jc w:val="left"/>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根据表7-3的有组织排放VOCs监测结果可知，</w:t>
            </w:r>
            <w:r>
              <w:rPr>
                <w:rFonts w:hint="default" w:ascii="Times New Roman" w:hAnsi="Times New Roman" w:cs="Times New Roman"/>
                <w:color w:val="000000" w:themeColor="text1"/>
                <w:kern w:val="2"/>
                <w:sz w:val="24"/>
                <w:szCs w:val="20"/>
                <w:lang w:val="zh-CN" w:eastAsia="zh-CN" w:bidi="ar-SA"/>
                <w14:textFill>
                  <w14:solidFill>
                    <w14:schemeClr w14:val="tx1"/>
                  </w14:solidFill>
                </w14:textFill>
              </w:rPr>
              <w:t>喷粉工序废气</w:t>
            </w:r>
            <w:r>
              <w:rPr>
                <w:rFonts w:hint="default" w:ascii="Times New Roman" w:hAnsi="Times New Roman" w:eastAsia="宋体" w:cs="Times New Roman"/>
                <w:color w:val="000000" w:themeColor="text1"/>
                <w:kern w:val="2"/>
                <w:sz w:val="24"/>
                <w:szCs w:val="20"/>
                <w:lang w:val="zh-CN" w:eastAsia="zh-CN" w:bidi="ar-SA"/>
                <w14:textFill>
                  <w14:solidFill>
                    <w14:schemeClr w14:val="tx1"/>
                  </w14:solidFill>
                </w14:textFill>
              </w:rPr>
              <w:t>排放口G1总VOC</w:t>
            </w:r>
            <w:r>
              <w:rPr>
                <w:rFonts w:hint="default" w:ascii="Times New Roman" w:hAnsi="Times New Roman" w:eastAsia="宋体" w:cs="Times New Roman"/>
                <w:color w:val="000000" w:themeColor="text1"/>
                <w:kern w:val="2"/>
                <w:sz w:val="24"/>
                <w:szCs w:val="20"/>
                <w:vertAlign w:val="subscript"/>
                <w:lang w:val="zh-CN" w:eastAsia="zh-CN" w:bidi="ar-SA"/>
                <w14:textFill>
                  <w14:solidFill>
                    <w14:schemeClr w14:val="tx1"/>
                  </w14:solidFill>
                </w14:textFill>
              </w:rPr>
              <w:t>S</w:t>
            </w:r>
            <w:r>
              <w:rPr>
                <w:rFonts w:hint="default" w:ascii="Times New Roman" w:hAnsi="Times New Roman" w:eastAsia="宋体" w:cs="Times New Roman"/>
                <w:color w:val="000000" w:themeColor="text1"/>
                <w:kern w:val="2"/>
                <w:sz w:val="24"/>
                <w:szCs w:val="20"/>
                <w:lang w:val="zh-CN" w:eastAsia="zh-CN" w:bidi="ar-SA"/>
                <w14:textFill>
                  <w14:solidFill>
                    <w14:schemeClr w14:val="tx1"/>
                  </w14:solidFill>
                </w14:textFill>
              </w:rPr>
              <w:t>的排放浓度及排放速率均符合广东省地方标准《具制造行业挥发性有机化合物排放标准》（DB44/814-2010）表1 排气筒VOCs排放限值Ⅱ时段标准要求。</w:t>
            </w:r>
          </w:p>
          <w:p>
            <w:pPr>
              <w:widowControl w:val="0"/>
              <w:spacing w:before="0"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pPr>
              <w:widowControl w:val="0"/>
              <w:spacing w:before="0" w:line="240" w:lineRule="auto"/>
              <w:ind w:firstLine="562"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cs="Times New Roman"/>
                <w:b/>
                <w:color w:val="000000" w:themeColor="text1"/>
                <w:kern w:val="2"/>
                <w:sz w:val="28"/>
                <w:szCs w:val="28"/>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2"/>
                <w:sz w:val="28"/>
                <w:szCs w:val="28"/>
                <w:lang w:val="en-US" w:eastAsia="zh-CN" w:bidi="ar-SA"/>
                <w14:textFill>
                  <w14:solidFill>
                    <w14:schemeClr w14:val="tx1"/>
                  </w14:solidFill>
                </w14:textFill>
              </w:rPr>
              <w:t>、噪声</w:t>
            </w:r>
          </w:p>
          <w:p>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年11月0</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日-11月0</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日，委托</w:t>
            </w:r>
            <w:r>
              <w:rPr>
                <w:rFonts w:hint="default" w:ascii="Times New Roman" w:hAnsi="Times New Roman" w:cs="Times New Roman"/>
                <w:color w:val="000000" w:themeColor="text1"/>
                <w:sz w:val="24"/>
                <w:szCs w:val="24"/>
                <w:lang w:eastAsia="zh-CN"/>
                <w14:textFill>
                  <w14:solidFill>
                    <w14:schemeClr w14:val="tx1"/>
                  </w14:solidFill>
                </w14:textFill>
              </w:rPr>
              <w:t>广东准星检测有限公司</w:t>
            </w:r>
            <w:r>
              <w:rPr>
                <w:rFonts w:hint="default" w:ascii="Times New Roman" w:hAnsi="Times New Roman" w:cs="Times New Roman"/>
                <w:color w:val="000000" w:themeColor="text1"/>
                <w:sz w:val="24"/>
                <w:szCs w:val="24"/>
                <w14:textFill>
                  <w14:solidFill>
                    <w14:schemeClr w14:val="tx1"/>
                  </w14:solidFill>
                </w14:textFill>
              </w:rPr>
              <w:t>组织技术人员对该项目进行噪声监测，具体监测内容和监测结果</w:t>
            </w:r>
            <w:r>
              <w:rPr>
                <w:rFonts w:hint="default" w:ascii="Times New Roman" w:hAnsi="Times New Roman" w:cs="Times New Roman"/>
                <w:color w:val="000000" w:themeColor="text1"/>
                <w:sz w:val="24"/>
                <w:szCs w:val="24"/>
                <w:lang w:eastAsia="zh-CN"/>
                <w14:textFill>
                  <w14:solidFill>
                    <w14:schemeClr w14:val="tx1"/>
                  </w14:solidFill>
                </w14:textFill>
              </w:rPr>
              <w:t>如表7-</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p>
          <w:p>
            <w:pPr>
              <w:widowControl w:val="0"/>
              <w:spacing w:before="0" w:line="360" w:lineRule="auto"/>
              <w:ind w:firstLine="0" w:firstLineChars="0"/>
              <w:jc w:val="center"/>
              <w:rPr>
                <w:rFonts w:hint="default" w:ascii="Times New Roman" w:hAnsi="Times New Roman" w:eastAsia="宋体" w:cs="Times New Roman"/>
                <w:b/>
                <w:color w:val="000000" w:themeColor="text1"/>
                <w:kern w:val="2"/>
                <w:sz w:val="21"/>
                <w:szCs w:val="16"/>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表7-</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16"/>
                <w:lang w:val="en-US" w:eastAsia="zh-CN" w:bidi="ar-SA"/>
                <w14:textFill>
                  <w14:solidFill>
                    <w14:schemeClr w14:val="tx1"/>
                  </w14:solidFill>
                </w14:textFill>
              </w:rPr>
              <w:t>环境噪声监测结果汇总表</w:t>
            </w:r>
          </w:p>
          <w:tbl>
            <w:tblPr>
              <w:tblStyle w:val="1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2136"/>
              <w:gridCol w:w="1303"/>
              <w:gridCol w:w="1092"/>
              <w:gridCol w:w="1092"/>
              <w:gridCol w:w="1092"/>
              <w:gridCol w:w="1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0"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序号</w:t>
                  </w:r>
                </w:p>
              </w:tc>
              <w:tc>
                <w:tcPr>
                  <w:tcW w:w="1898"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检测点位</w:t>
                  </w:r>
                </w:p>
              </w:tc>
              <w:tc>
                <w:tcPr>
                  <w:tcW w:w="1158" w:type="dxa"/>
                  <w:vMerge w:val="restart"/>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主要声源</w:t>
                  </w:r>
                </w:p>
              </w:tc>
              <w:tc>
                <w:tcPr>
                  <w:tcW w:w="3880" w:type="dxa"/>
                  <w:gridSpan w:val="4"/>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测量值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0"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898"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158"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940" w:type="dxa"/>
                  <w:gridSpan w:val="2"/>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2019-11-05</w:t>
                  </w:r>
                </w:p>
              </w:tc>
              <w:tc>
                <w:tcPr>
                  <w:tcW w:w="1940" w:type="dxa"/>
                  <w:gridSpan w:val="2"/>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2019-11-06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0"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898"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1158" w:type="dxa"/>
                  <w:vMerge w:val="continue"/>
                  <w:tcBorders>
                    <w:top w:val="nil"/>
                  </w:tcBorders>
                  <w:vAlign w:val="center"/>
                </w:tcPr>
                <w:p>
                  <w:pPr>
                    <w:jc w:val="center"/>
                    <w:rPr>
                      <w:rFonts w:hint="default" w:ascii="Times New Roman" w:hAnsi="Times New Roman" w:cs="Times New Roman"/>
                      <w:color w:val="000000" w:themeColor="text1"/>
                      <w:lang w:val="zh-CN"/>
                      <w14:textFill>
                        <w14:solidFill>
                          <w14:schemeClr w14:val="tx1"/>
                        </w14:solidFill>
                      </w14:textFill>
                    </w:rPr>
                  </w:pP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昼间 Leq</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夜间 Leq</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昼间 Leq</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夜间 Leq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2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1#</w:t>
                  </w:r>
                </w:p>
              </w:tc>
              <w:tc>
                <w:tcPr>
                  <w:tcW w:w="189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东南面厂界外1m 处</w:t>
                  </w:r>
                </w:p>
              </w:tc>
              <w:tc>
                <w:tcPr>
                  <w:tcW w:w="115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生产噪声</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59</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46</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58</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w:t>
                  </w:r>
                </w:p>
              </w:tc>
              <w:tc>
                <w:tcPr>
                  <w:tcW w:w="189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南角厂界外 1m 处</w:t>
                  </w:r>
                </w:p>
              </w:tc>
              <w:tc>
                <w:tcPr>
                  <w:tcW w:w="115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生产噪声</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57</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49</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56</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w:t>
                  </w:r>
                </w:p>
              </w:tc>
              <w:tc>
                <w:tcPr>
                  <w:tcW w:w="189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西南面厂界外1m 处</w:t>
                  </w:r>
                </w:p>
              </w:tc>
              <w:tc>
                <w:tcPr>
                  <w:tcW w:w="115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生产噪声</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57</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46</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56</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w:t>
                  </w:r>
                </w:p>
              </w:tc>
              <w:tc>
                <w:tcPr>
                  <w:tcW w:w="189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西北面厂界外1m 处</w:t>
                  </w:r>
                </w:p>
              </w:tc>
              <w:tc>
                <w:tcPr>
                  <w:tcW w:w="1158"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生产噪声</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58</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45</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57</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3676" w:type="dxa"/>
                  <w:gridSpan w:val="3"/>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《工业企业厂界环境噪声排放标准》</w:t>
                  </w:r>
                </w:p>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（GB 12348-2008）2 类</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60</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50</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60</w:t>
                  </w:r>
                </w:p>
              </w:tc>
              <w:tc>
                <w:tcPr>
                  <w:tcW w:w="970" w:type="dxa"/>
                  <w:vAlign w:val="center"/>
                </w:tcPr>
                <w:p>
                  <w:pPr>
                    <w:jc w:val="center"/>
                    <w:rPr>
                      <w:rFonts w:hint="default" w:ascii="Times New Roman" w:hAnsi="Times New Roman"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50</w:t>
                  </w:r>
                </w:p>
              </w:tc>
            </w:tr>
          </w:tbl>
          <w:p>
            <w:pPr>
              <w:pStyle w:val="2"/>
              <w:ind w:left="0" w:leftChars="0" w:firstLine="0" w:firstLineChars="0"/>
              <w:rPr>
                <w:rFonts w:hint="default" w:ascii="Times New Roman" w:hAnsi="Times New Roman" w:eastAsia="Times New Roman" w:cs="Times New Roman"/>
                <w:color w:val="000000" w:themeColor="text1"/>
                <w:kern w:val="2"/>
                <w:sz w:val="24"/>
                <w:szCs w:val="24"/>
                <w:lang w:val="en-US" w:eastAsia="zh-CN" w:bidi="zh-CN"/>
                <w14:textFill>
                  <w14:solidFill>
                    <w14:schemeClr w14:val="tx1"/>
                  </w14:solidFill>
                </w14:textFill>
              </w:rPr>
            </w:pPr>
          </w:p>
          <w:p>
            <w:pPr>
              <w:pStyle w:val="19"/>
              <w:autoSpaceDE w:val="0"/>
              <w:autoSpaceDN w:val="0"/>
              <w:spacing w:before="3" w:after="0" w:line="360" w:lineRule="auto"/>
              <w:ind w:left="105" w:leftChars="5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kern w:val="2"/>
                <w:sz w:val="24"/>
                <w:szCs w:val="24"/>
                <w:lang w:val="zh-CN" w:eastAsia="zh-CN" w:bidi="zh-CN"/>
                <w14:textFill>
                  <w14:solidFill>
                    <w14:schemeClr w14:val="tx1"/>
                  </w14:solidFill>
                </w14:textFill>
              </w:rPr>
              <w:t>根据表7-</w:t>
            </w:r>
            <w:r>
              <w:rPr>
                <w:rFonts w:hint="eastAsia" w:cs="Times New Roman"/>
                <w:color w:val="000000" w:themeColor="text1"/>
                <w:kern w:val="2"/>
                <w:sz w:val="24"/>
                <w:szCs w:val="24"/>
                <w:lang w:val="en-US" w:eastAsia="zh-CN" w:bidi="zh-CN"/>
                <w14:textFill>
                  <w14:solidFill>
                    <w14:schemeClr w14:val="tx1"/>
                  </w14:solidFill>
                </w14:textFill>
              </w:rPr>
              <w:t>4</w:t>
            </w:r>
            <w:r>
              <w:rPr>
                <w:rFonts w:hint="default" w:ascii="Times New Roman" w:hAnsi="Times New Roman" w:eastAsia="Times New Roman" w:cs="Times New Roman"/>
                <w:color w:val="000000" w:themeColor="text1"/>
                <w:kern w:val="2"/>
                <w:sz w:val="24"/>
                <w:szCs w:val="24"/>
                <w:lang w:val="zh-CN" w:eastAsia="zh-CN" w:bidi="zh-CN"/>
                <w14:textFill>
                  <w14:solidFill>
                    <w14:schemeClr w14:val="tx1"/>
                  </w14:solidFill>
                </w14:textFill>
              </w:rPr>
              <w:t>的噪声</w:t>
            </w:r>
            <w:r>
              <w:rPr>
                <w:rFonts w:hint="default" w:ascii="Times New Roman" w:hAnsi="Times New Roman" w:cs="Times New Roman"/>
                <w:color w:val="000000" w:themeColor="text1"/>
                <w:sz w:val="24"/>
                <w:szCs w:val="24"/>
                <w14:textFill>
                  <w14:solidFill>
                    <w14:schemeClr w14:val="tx1"/>
                  </w14:solidFill>
                </w14:textFill>
              </w:rPr>
              <w:t>监测结果可知，</w:t>
            </w:r>
            <w:r>
              <w:rPr>
                <w:rFonts w:hint="default" w:ascii="Times New Roman" w:hAnsi="Times New Roman" w:eastAsia="宋体" w:cs="Times New Roman"/>
                <w:color w:val="000000" w:themeColor="text1"/>
                <w:kern w:val="0"/>
                <w:sz w:val="24"/>
                <w14:textFill>
                  <w14:solidFill>
                    <w14:schemeClr w14:val="tx1"/>
                  </w14:solidFill>
                </w14:textFill>
              </w:rPr>
              <w:t>经检测，厂界噪声各检测点检测结果均符合《工业企业厂界环境噪声排放标准》</w:t>
            </w:r>
            <w:r>
              <w:rPr>
                <w:rFonts w:hint="default" w:ascii="Times New Roman" w:hAnsi="Times New Roman" w:eastAsia="宋体" w:cs="Times New Roman"/>
                <w:color w:val="000000" w:themeColor="text1"/>
                <w:sz w:val="24"/>
                <w:szCs w:val="22"/>
                <w:lang w:val="zh-CN" w:eastAsia="zh-CN" w:bidi="zh-CN"/>
                <w14:textFill>
                  <w14:solidFill>
                    <w14:schemeClr w14:val="tx1"/>
                  </w14:solidFill>
                </w14:textFill>
              </w:rPr>
              <w:t>（</w:t>
            </w:r>
            <w:r>
              <w:rPr>
                <w:rFonts w:hint="default" w:ascii="Times New Roman" w:hAnsi="Times New Roman" w:eastAsia="Times New Roman" w:cs="Times New Roman"/>
                <w:color w:val="000000" w:themeColor="text1"/>
                <w:sz w:val="24"/>
                <w:szCs w:val="22"/>
                <w:lang w:val="zh-CN" w:eastAsia="zh-CN" w:bidi="zh-CN"/>
                <w14:textFill>
                  <w14:solidFill>
                    <w14:schemeClr w14:val="tx1"/>
                  </w14:solidFill>
                </w14:textFill>
              </w:rPr>
              <w:t>GB 12348-2008</w:t>
            </w:r>
            <w:r>
              <w:rPr>
                <w:rFonts w:hint="default" w:ascii="Times New Roman" w:hAnsi="Times New Roman" w:eastAsia="宋体" w:cs="Times New Roman"/>
                <w:color w:val="000000" w:themeColor="text1"/>
                <w:sz w:val="24"/>
                <w:szCs w:val="22"/>
                <w:lang w:val="zh-CN" w:eastAsia="zh-CN" w:bidi="zh-CN"/>
                <w14:textFill>
                  <w14:solidFill>
                    <w14:schemeClr w14:val="tx1"/>
                  </w14:solidFill>
                </w14:textFill>
              </w:rPr>
              <w:t>）</w:t>
            </w:r>
            <w:r>
              <w:rPr>
                <w:rFonts w:hint="default" w:ascii="Times New Roman" w:hAnsi="Times New Roman" w:eastAsia="Times New Roman" w:cs="Times New Roman"/>
                <w:color w:val="000000" w:themeColor="text1"/>
                <w:sz w:val="24"/>
                <w:szCs w:val="22"/>
                <w:lang w:val="zh-CN" w:eastAsia="zh-CN" w:bidi="zh-CN"/>
                <w14:textFill>
                  <w14:solidFill>
                    <w14:schemeClr w14:val="tx1"/>
                  </w14:solidFill>
                </w14:textFill>
              </w:rPr>
              <w:t xml:space="preserve">2 </w:t>
            </w:r>
            <w:r>
              <w:rPr>
                <w:rFonts w:hint="default" w:ascii="Times New Roman" w:hAnsi="Times New Roman" w:eastAsia="宋体" w:cs="Times New Roman"/>
                <w:color w:val="000000" w:themeColor="text1"/>
                <w:sz w:val="24"/>
                <w:szCs w:val="22"/>
                <w:lang w:val="zh-CN" w:eastAsia="zh-CN" w:bidi="zh-CN"/>
                <w14:textFill>
                  <w14:solidFill>
                    <w14:schemeClr w14:val="tx1"/>
                  </w14:solidFill>
                </w14:textFill>
              </w:rPr>
              <w:t>类限值要求</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71" w:type="dxa"/>
          </w:tcPr>
          <w:p>
            <w:pPr>
              <w:widowControl/>
              <w:adjustRightInd w:val="0"/>
              <w:snapToGrid w:val="0"/>
              <w:spacing w:before="0" w:line="360" w:lineRule="auto"/>
              <w:ind w:firstLine="0" w:firstLineChars="0"/>
              <w:jc w:val="both"/>
              <w:rPr>
                <w:rFonts w:hint="default" w:ascii="Times New Roman" w:hAnsi="Times New Roman" w:eastAsia="宋体" w:cs="Times New Roman"/>
                <w:b/>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lang w:val="en-US" w:eastAsia="zh-CN" w:bidi="ar-SA"/>
                <w14:textFill>
                  <w14:solidFill>
                    <w14:schemeClr w14:val="tx1"/>
                  </w14:solidFill>
                </w14:textFill>
              </w:rPr>
              <w:t>其他验收检查结果</w:t>
            </w:r>
          </w:p>
          <w:p>
            <w:pPr>
              <w:widowControl w:val="0"/>
              <w:spacing w:before="0" w:line="360" w:lineRule="auto"/>
              <w:ind w:firstLine="0" w:firstLineChars="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1、固废处理</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项目营运过程主要为厂内员工生活垃圾、边角废料和除尘器收集的粉尘等。</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（1）生活垃圾</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项目员工共4人，均不在厂内食宿</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食宿员工</w:t>
            </w:r>
            <w:r>
              <w:rPr>
                <w:rFonts w:hint="default" w:ascii="Times New Roman" w:hAnsi="Times New Roman" w:cs="Times New Roman"/>
                <w:color w:val="000000" w:themeColor="text1"/>
                <w:sz w:val="24"/>
                <w:szCs w:val="24"/>
                <w14:textFill>
                  <w14:solidFill>
                    <w14:schemeClr w14:val="tx1"/>
                  </w14:solidFill>
                </w14:textFill>
              </w:rPr>
              <w:t>按照每人每天生活垃圾产生量0.5kg计，生活垃圾量为2kg/d（0.6t/a），交由环卫部门清运。</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（2）边角废料</w:t>
            </w:r>
          </w:p>
          <w:p>
            <w:pPr>
              <w:snapToGrid w:val="0"/>
              <w:spacing w:line="360" w:lineRule="auto"/>
              <w:ind w:firstLine="470" w:firstLineChars="196"/>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项目在切割等过程产生一定量的边角废料，其产生量约为0.5t/a，收集后外卖给收购商综合利用。</w:t>
            </w:r>
          </w:p>
          <w:p>
            <w:pPr>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（3）除尘器收集的粉尘</w:t>
            </w:r>
          </w:p>
          <w:p>
            <w:pPr>
              <w:snapToGrid w:val="0"/>
              <w:spacing w:line="360" w:lineRule="auto"/>
              <w:ind w:firstLine="470" w:firstLineChars="196"/>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项目过滤除尘器收集的粉尘量为0.72t/a，返回生产工序中重新利用。</w:t>
            </w: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综上所述，该项目产生的固体废弃物经上述处理后均能得到合理处置或综合利用，不会对周围环境产生明显的影响。</w:t>
            </w:r>
          </w:p>
          <w:p>
            <w:pPr>
              <w:snapToGrid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2、绿化、生态恢复措施及恢复情况</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该项目位于</w:t>
            </w:r>
            <w:r>
              <w:rPr>
                <w:rFonts w:hint="default" w:ascii="Times New Roman" w:hAnsi="Times New Roman" w:cs="Times New Roman"/>
                <w:color w:val="000000" w:themeColor="text1"/>
                <w:sz w:val="24"/>
                <w:szCs w:val="24"/>
                <w:lang w:eastAsia="zh-CN"/>
                <w14:textFill>
                  <w14:solidFill>
                    <w14:schemeClr w14:val="tx1"/>
                  </w14:solidFill>
                </w14:textFill>
              </w:rPr>
              <w:t>梅州市梅江区三角镇梅州金三角旋窑水泥厂有限公司8号楼</w:t>
            </w:r>
            <w:r>
              <w:rPr>
                <w:rFonts w:hint="default" w:ascii="Times New Roman" w:hAnsi="Times New Roman" w:cs="Times New Roman"/>
                <w:color w:val="000000" w:themeColor="text1"/>
                <w:sz w:val="24"/>
                <w:szCs w:val="24"/>
                <w14:textFill>
                  <w14:solidFill>
                    <w14:schemeClr w14:val="tx1"/>
                  </w14:solidFill>
                </w14:textFill>
              </w:rPr>
              <w:t>，该项目已基本完成裸露地表的绿化恢复工作，营运期产生的废水、固废、噪声、废气通过治理后，对周围生态环境的影响甚微。</w:t>
            </w:r>
          </w:p>
          <w:p>
            <w:pPr>
              <w:snapToGrid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、监测手段及人员配置</w:t>
            </w:r>
          </w:p>
          <w:p>
            <w:pPr>
              <w:widowControl/>
              <w:adjustRightInd w:val="0"/>
              <w:snapToGrid w:val="0"/>
              <w:spacing w:before="0" w:after="159" w:afterLines="50" w:line="360" w:lineRule="auto"/>
              <w:ind w:firstLine="480" w:firstLineChars="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该项目没有配置监测设备和监测人员，需定期委托有资质的环境监测部门对其各项污染治理设施的运行情况进行监测。</w:t>
            </w:r>
          </w:p>
          <w:p>
            <w:pPr>
              <w:widowControl/>
              <w:adjustRightInd w:val="0"/>
              <w:snapToGrid w:val="0"/>
              <w:spacing w:before="0" w:line="360" w:lineRule="auto"/>
              <w:ind w:firstLine="0" w:firstLineChars="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、工程变动情况</w:t>
            </w:r>
          </w:p>
          <w:p>
            <w:pPr>
              <w:widowControl/>
              <w:adjustRightInd w:val="0"/>
              <w:snapToGrid w:val="0"/>
              <w:spacing w:before="0"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本项目基本根据环评批复的要求进行建设，无重大改动。环评批复要求与本项目实际建设内容对应情况见下表：</w:t>
            </w:r>
          </w:p>
          <w:p>
            <w:pPr>
              <w:widowControl/>
              <w:adjustRightInd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widowControl/>
              <w:adjustRightInd w:val="0"/>
              <w:snapToGrid w:val="0"/>
              <w:spacing w:before="0" w:line="36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表7-</w:t>
            </w: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环评批复要求与本项目实际建设内容对应情况一览表</w:t>
            </w:r>
          </w:p>
          <w:tbl>
            <w:tblPr>
              <w:tblStyle w:val="1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812"/>
              <w:gridCol w:w="44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3812" w:type="dxa"/>
                  <w:noWrap w:val="0"/>
                  <w:vAlign w:val="center"/>
                </w:tcPr>
                <w:p>
                  <w:pPr>
                    <w:snapToGrid w:val="0"/>
                    <w:spacing w:line="36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梅区环建函[201</w:t>
                  </w:r>
                  <w:r>
                    <w:rPr>
                      <w:rFonts w:hint="default" w:ascii="Times New Roman" w:hAnsi="Times New Roman" w:cs="Times New Roman"/>
                      <w:b/>
                      <w:color w:val="000000" w:themeColor="text1"/>
                      <w:sz w:val="21"/>
                      <w:szCs w:val="21"/>
                      <w:lang w:val="en-US" w:eastAsia="zh-CN"/>
                      <w14:textFill>
                        <w14:solidFill>
                          <w14:schemeClr w14:val="tx1"/>
                        </w14:solidFill>
                      </w14:textFill>
                    </w:rPr>
                    <w:t>9</w:t>
                  </w:r>
                  <w:r>
                    <w:rPr>
                      <w:rFonts w:hint="default" w:ascii="Times New Roman" w:hAnsi="Times New Roman" w:cs="Times New Roman"/>
                      <w:b/>
                      <w:color w:val="000000" w:themeColor="text1"/>
                      <w:sz w:val="21"/>
                      <w:szCs w:val="21"/>
                      <w14:textFill>
                        <w14:solidFill>
                          <w14:schemeClr w14:val="tx1"/>
                        </w14:solidFill>
                      </w14:textFill>
                    </w:rPr>
                    <w:t>]0</w:t>
                  </w:r>
                  <w:r>
                    <w:rPr>
                      <w:rFonts w:hint="default" w:ascii="Times New Roman" w:hAnsi="Times New Roman" w:cs="Times New Roman"/>
                      <w:b/>
                      <w:color w:val="000000" w:themeColor="text1"/>
                      <w:sz w:val="21"/>
                      <w:szCs w:val="21"/>
                      <w:lang w:val="en-US" w:eastAsia="zh-CN"/>
                      <w14:textFill>
                        <w14:solidFill>
                          <w14:schemeClr w14:val="tx1"/>
                        </w14:solidFill>
                      </w14:textFill>
                    </w:rPr>
                    <w:t>47</w:t>
                  </w:r>
                  <w:r>
                    <w:rPr>
                      <w:rFonts w:hint="default" w:ascii="Times New Roman" w:hAnsi="Times New Roman" w:cs="Times New Roman"/>
                      <w:b/>
                      <w:color w:val="000000" w:themeColor="text1"/>
                      <w:sz w:val="21"/>
                      <w:szCs w:val="21"/>
                      <w14:textFill>
                        <w14:solidFill>
                          <w14:schemeClr w14:val="tx1"/>
                        </w14:solidFill>
                      </w14:textFill>
                    </w:rPr>
                    <w:t>号批复要求</w:t>
                  </w:r>
                </w:p>
              </w:tc>
              <w:tc>
                <w:tcPr>
                  <w:tcW w:w="4456" w:type="dxa"/>
                  <w:noWrap w:val="0"/>
                  <w:vAlign w:val="center"/>
                </w:tcPr>
                <w:p>
                  <w:pPr>
                    <w:snapToGrid w:val="0"/>
                    <w:spacing w:line="36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建设项目执行情况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一</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梅州市佳顺发实业有限公司楼梯扶手生产项目位于梅州市梅江区三角镇梅州金三角旋窑水泥厂有限公司8号楼（地理坐标：东经116°06'47.47"；北纬24°14'01.14"）,项目占地面积约398平方米，建筑面积约398平方米，主要从事金属楼梯扶手加工，建设内容包含切割区、喷粉房、烘干区、成品和原料堆放区等。项目设计生产规模为年加工14吨金属楼梯扶手。项目总投资约20 万元，其中环保投资约8万元。</w:t>
                  </w:r>
                </w:p>
              </w:tc>
              <w:tc>
                <w:tcPr>
                  <w:tcW w:w="4456" w:type="dxa"/>
                  <w:noWrap w:val="0"/>
                  <w:vAlign w:val="center"/>
                </w:tcPr>
                <w:p>
                  <w:pPr>
                    <w:spacing w:line="360" w:lineRule="auto"/>
                    <w:ind w:firstLine="420" w:firstLineChars="200"/>
                    <w:jc w:val="left"/>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梅州市佳顺发实业有限公司楼梯扶手生产项目位于梅州市梅江区三角镇梅州金三角旋窑水泥厂有限公司8号楼（地理坐标：东经116°06'47.47"；北纬24°14'01.14"）,项目占地面积约398平方米，建筑面积约398平方米，主要从事金属楼梯扶手加工，建设内容包含切割区、喷粉房、烘干区、成品和原料堆放区等。项目设计生产规模为年加工14吨金属楼梯扶手。项目总投资约20 万元，其中环保投资约8万元。</w:t>
                  </w:r>
                  <w:r>
                    <w:rPr>
                      <w:rFonts w:hint="default" w:ascii="Times New Roman" w:hAnsi="Times New Roman" w:cs="Times New Roman"/>
                      <w:bCs/>
                      <w:color w:val="000000" w:themeColor="text1"/>
                      <w:sz w:val="21"/>
                      <w:szCs w:val="21"/>
                      <w:lang w:val="en-US" w:eastAsia="zh-CN"/>
                      <w14:textFill>
                        <w14:solidFill>
                          <w14:schemeClr w14:val="tx1"/>
                        </w14:solidFill>
                      </w14:textFill>
                    </w:rPr>
                    <w:t>该项目现月产楼梯扶手1.16吨，能达到设计生产能力的75%以上。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二</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根据报告表的评价分析和评价结论，落实污染防治和环境风险防控措施</w:t>
                  </w:r>
                </w:p>
              </w:tc>
              <w:tc>
                <w:tcPr>
                  <w:tcW w:w="4456" w:type="dxa"/>
                  <w:noWrap w:val="0"/>
                  <w:vAlign w:val="center"/>
                </w:tcPr>
                <w:p>
                  <w:pPr>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该项目已严格落实报告表提出的各项污染防治措施，环境风险防范措施。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三</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重点做好以下</w:t>
                  </w:r>
                  <w:r>
                    <w:rPr>
                      <w:rFonts w:hint="default" w:ascii="Times New Roman" w:hAnsi="Times New Roman" w:cs="Times New Roman"/>
                      <w:bCs/>
                      <w:color w:val="000000" w:themeColor="text1"/>
                      <w:sz w:val="21"/>
                      <w:szCs w:val="21"/>
                      <w:lang w:val="en-US" w:eastAsia="zh-CN"/>
                      <w14:textFill>
                        <w14:solidFill>
                          <w14:schemeClr w14:val="tx1"/>
                        </w14:solidFill>
                      </w14:textFill>
                    </w:rPr>
                    <w:t>环境保护</w:t>
                  </w:r>
                  <w:r>
                    <w:rPr>
                      <w:rFonts w:hint="default" w:ascii="Times New Roman" w:hAnsi="Times New Roman" w:cs="Times New Roman"/>
                      <w:bCs/>
                      <w:color w:val="000000" w:themeColor="text1"/>
                      <w:sz w:val="21"/>
                      <w:szCs w:val="21"/>
                      <w14:textFill>
                        <w14:solidFill>
                          <w14:schemeClr w14:val="tx1"/>
                        </w14:solidFill>
                      </w14:textFill>
                    </w:rPr>
                    <w:t>工作：</w:t>
                  </w:r>
                </w:p>
              </w:tc>
              <w:tc>
                <w:tcPr>
                  <w:tcW w:w="4456" w:type="dxa"/>
                  <w:noWrap w:val="0"/>
                  <w:vAlign w:val="center"/>
                </w:tcPr>
                <w:p>
                  <w:pPr>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1</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废水：项目无生产废水产生；生活污水经化粪池处理后用于厂区绿化或附近农灌、林灌。</w:t>
                  </w:r>
                </w:p>
              </w:tc>
              <w:tc>
                <w:tcPr>
                  <w:tcW w:w="4456" w:type="dxa"/>
                  <w:noWrap w:val="0"/>
                  <w:vAlign w:val="center"/>
                </w:tcPr>
                <w:p>
                  <w:pPr>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项目无生产废水产生；生活污水经化粪池处理后用于厂区绿化或附近农灌、林灌。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废气：项目在切割、打磨、喷粉等工序生产过程中产生的粉尘必须采用有效措施尽量减少排放，确保颗粒物无组织排放符合《大气污染物排放限值》</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(DB44/27-2001)</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第二时段无组织排放限值的要求；固化工序有机废气必须经有效收集与处理后通过排气筒高空排放，有机废气排放参照执行《家具制造行业挥发性有机化合物排放标准》</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(DB44/814-2010)</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第II时段标准。</w:t>
                  </w:r>
                </w:p>
              </w:tc>
              <w:tc>
                <w:tcPr>
                  <w:tcW w:w="4456" w:type="dxa"/>
                  <w:noWrap w:val="0"/>
                  <w:vAlign w:val="center"/>
                </w:tcPr>
                <w:p>
                  <w:pPr>
                    <w:spacing w:line="360" w:lineRule="auto"/>
                    <w:ind w:firstLine="420" w:firstLineChars="20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项目在切割、打磨、喷粉等工序生产过程中产生的粉尘</w:t>
                  </w:r>
                  <w:r>
                    <w:rPr>
                      <w:rFonts w:hint="default" w:ascii="Times New Roman" w:hAnsi="Times New Roman" w:cs="Times New Roman"/>
                      <w:color w:val="000000" w:themeColor="text1"/>
                      <w:sz w:val="21"/>
                      <w:szCs w:val="21"/>
                      <w:lang w:val="en-US" w:eastAsia="zh-CN"/>
                      <w14:textFill>
                        <w14:solidFill>
                          <w14:schemeClr w14:val="tx1"/>
                        </w14:solidFill>
                      </w14:textFill>
                    </w:rPr>
                    <w:t>通过加强通风，自然沉降等措施处理后以无组织形式排放。</w:t>
                  </w:r>
                </w:p>
                <w:p>
                  <w:pPr>
                    <w:spacing w:line="360" w:lineRule="auto"/>
                    <w:ind w:firstLine="420" w:firstLineChars="200"/>
                    <w:jc w:val="left"/>
                    <w:rPr>
                      <w:rFonts w:hint="default" w:ascii="Times New Roman" w:hAnsi="Times New Roman" w:eastAsia="宋体" w:cs="Times New Roman"/>
                      <w:color w:val="000000" w:themeColor="text1"/>
                      <w:sz w:val="21"/>
                      <w:szCs w:val="21"/>
                      <w:lang w:val="zh-TW" w:eastAsia="zh-TW"/>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经监测，项目颗粒物</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无组织排放符合《大气污染物排放限值》</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(DB44/27-2001)</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第二时段无组织排放限值的要求；</w:t>
                  </w:r>
                </w:p>
                <w:p>
                  <w:pPr>
                    <w:spacing w:line="360" w:lineRule="auto"/>
                    <w:ind w:firstLine="420" w:firstLineChars="200"/>
                    <w:jc w:val="left"/>
                    <w:rPr>
                      <w:rFonts w:hint="default" w:ascii="Times New Roman" w:hAnsi="Times New Roman" w:eastAsia="宋体" w:cs="Times New Roman"/>
                      <w:color w:val="000000" w:themeColor="text1"/>
                      <w:sz w:val="21"/>
                      <w:szCs w:val="21"/>
                      <w:lang w:val="zh-TW"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固化工序有机废气经集气罩收集和UV光解装置处理后</w:t>
                  </w:r>
                  <w:r>
                    <w:rPr>
                      <w:rFonts w:hint="eastAsia" w:ascii="Times New Roman" w:hAnsi="Times New Roman" w:cs="Times New Roman"/>
                      <w:color w:val="000000" w:themeColor="text1"/>
                      <w:sz w:val="21"/>
                      <w:szCs w:val="21"/>
                      <w:lang w:val="zh-TW" w:eastAsia="zh-CN"/>
                      <w14:textFill>
                        <w14:solidFill>
                          <w14:schemeClr w14:val="tx1"/>
                        </w14:solidFill>
                      </w14:textFill>
                    </w:rPr>
                    <w:t>7m高</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排气筒高空排放</w:t>
                  </w:r>
                  <w:r>
                    <w:rPr>
                      <w:rFonts w:hint="default" w:ascii="Times New Roman" w:hAnsi="Times New Roman" w:eastAsia="宋体" w:cs="Times New Roman"/>
                      <w:color w:val="000000" w:themeColor="text1"/>
                      <w:sz w:val="21"/>
                      <w:szCs w:val="21"/>
                      <w:lang w:val="zh-TW" w:eastAsia="zh-CN"/>
                      <w14:textFill>
                        <w14:solidFill>
                          <w14:schemeClr w14:val="tx1"/>
                        </w14:solidFill>
                      </w14:textFill>
                    </w:rPr>
                    <w:t>。</w:t>
                  </w:r>
                </w:p>
                <w:p>
                  <w:pPr>
                    <w:autoSpaceDE w:val="0"/>
                    <w:autoSpaceDN w:val="0"/>
                    <w:spacing w:before="0" w:after="0" w:line="360" w:lineRule="auto"/>
                    <w:ind w:left="0" w:leftChars="0" w:right="0" w:firstLine="420" w:firstLineChars="200"/>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经监测，本项目</w:t>
                  </w:r>
                  <w:r>
                    <w:rPr>
                      <w:rFonts w:hint="default" w:ascii="Times New Roman" w:hAnsi="Times New Roman" w:cs="Times New Roman" w:eastAsiaTheme="minorEastAsia"/>
                      <w:color w:val="000000" w:themeColor="text1"/>
                      <w:lang w:val="zh-TW" w:eastAsia="zh-TW"/>
                      <w14:textFill>
                        <w14:solidFill>
                          <w14:schemeClr w14:val="tx1"/>
                        </w14:solidFill>
                      </w14:textFill>
                    </w:rPr>
                    <w:t>固化工序有机废气排放</w:t>
                  </w:r>
                  <w:r>
                    <w:rPr>
                      <w:rFonts w:hint="default" w:ascii="Times New Roman" w:hAnsi="Times New Roman" w:cs="Times New Roman" w:eastAsiaTheme="minorEastAsia"/>
                      <w:color w:val="000000" w:themeColor="text1"/>
                      <w:lang w:val="en-US" w:eastAsia="zh-CN"/>
                      <w14:textFill>
                        <w14:solidFill>
                          <w14:schemeClr w14:val="tx1"/>
                        </w14:solidFill>
                      </w14:textFill>
                    </w:rPr>
                    <w:t>能够达到</w:t>
                  </w:r>
                  <w:r>
                    <w:rPr>
                      <w:rFonts w:hint="default" w:ascii="Times New Roman" w:hAnsi="Times New Roman" w:cs="Times New Roman" w:eastAsiaTheme="minorEastAsia"/>
                      <w:color w:val="000000" w:themeColor="text1"/>
                      <w:lang w:val="zh-TW" w:eastAsia="zh-TW"/>
                      <w14:textFill>
                        <w14:solidFill>
                          <w14:schemeClr w14:val="tx1"/>
                        </w14:solidFill>
                      </w14:textFill>
                    </w:rPr>
                    <w:t>《家具制造行业挥发性有机化合物排放标准》</w:t>
                  </w:r>
                  <w:r>
                    <w:rPr>
                      <w:rFonts w:hint="default" w:ascii="Times New Roman" w:hAnsi="Times New Roman" w:cs="Times New Roman" w:eastAsiaTheme="minorEastAsia"/>
                      <w:color w:val="000000" w:themeColor="text1"/>
                      <w:lang w:val="en-US" w:eastAsia="en-US"/>
                      <w14:textFill>
                        <w14:solidFill>
                          <w14:schemeClr w14:val="tx1"/>
                        </w14:solidFill>
                      </w14:textFill>
                    </w:rPr>
                    <w:t>(DB44/814-2010)</w:t>
                  </w:r>
                  <w:r>
                    <w:rPr>
                      <w:rFonts w:hint="default" w:ascii="Times New Roman" w:hAnsi="Times New Roman" w:cs="Times New Roman" w:eastAsiaTheme="minorEastAsia"/>
                      <w:color w:val="000000" w:themeColor="text1"/>
                      <w:lang w:val="zh-TW" w:eastAsia="zh-TW"/>
                      <w14:textFill>
                        <w14:solidFill>
                          <w14:schemeClr w14:val="tx1"/>
                        </w14:solidFill>
                      </w14:textFill>
                    </w:rPr>
                    <w:t>第II时段标准。</w:t>
                  </w:r>
                  <w:r>
                    <w:rPr>
                      <w:rFonts w:hint="default" w:ascii="Times New Roman" w:hAnsi="Times New Roman" w:cs="Times New Roman" w:eastAsiaTheme="minorEastAsia"/>
                      <w:color w:val="000000" w:themeColor="text1"/>
                      <w:lang w:val="en-US" w:eastAsia="zh-CN"/>
                      <w14:textFill>
                        <w14:solidFill>
                          <w14:schemeClr w14:val="tx1"/>
                        </w14:solidFill>
                      </w14:textFill>
                    </w:rPr>
                    <w:t>厂界</w:t>
                  </w:r>
                  <w:r>
                    <w:rPr>
                      <w:rFonts w:hint="default" w:ascii="Times New Roman" w:hAnsi="Times New Roman" w:cs="Times New Roman" w:eastAsiaTheme="minorEastAsia"/>
                      <w:color w:val="000000" w:themeColor="text1"/>
                      <w:lang w:val="zh-CN"/>
                      <w14:textFill>
                        <w14:solidFill>
                          <w14:schemeClr w14:val="tx1"/>
                        </w14:solidFill>
                      </w14:textFill>
                    </w:rPr>
                    <w:t>总VOCs的检测结果</w:t>
                  </w:r>
                  <w:r>
                    <w:rPr>
                      <w:rFonts w:hint="default" w:ascii="Times New Roman" w:hAnsi="Times New Roman" w:cs="Times New Roman" w:eastAsiaTheme="minorEastAsia"/>
                      <w:color w:val="000000" w:themeColor="text1"/>
                      <w:lang w:val="en-US" w:eastAsia="zh-CN"/>
                      <w14:textFill>
                        <w14:solidFill>
                          <w14:schemeClr w14:val="tx1"/>
                        </w14:solidFill>
                      </w14:textFill>
                    </w:rPr>
                    <w:t>能够达到</w:t>
                  </w:r>
                  <w:r>
                    <w:rPr>
                      <w:rFonts w:hint="default" w:ascii="Times New Roman" w:hAnsi="Times New Roman" w:cs="Times New Roman" w:eastAsiaTheme="minorEastAsia"/>
                      <w:color w:val="000000" w:themeColor="text1"/>
                      <w:lang w:val="zh-CN"/>
                      <w14:textFill>
                        <w14:solidFill>
                          <w14:schemeClr w14:val="tx1"/>
                        </w14:solidFill>
                      </w14:textFill>
                    </w:rPr>
                    <w:t>广东省地方标准《家具制造行业挥发性有机化合物排放标准》（DB44/814-2010）表2无组织排放监控点浓度限值要求。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噪声：项目应釆取选用低噪设备，合理布置噪声源，并对噪声较大设备釆取减振、隔声等合理有效的降噪措施，同时控制作业时间，防止噪声扰民。项目边界噪声排放执行《工业企业厂 界环境噪声排放标准》</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(GB12348-2008)</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2类标准。</w:t>
                  </w:r>
                </w:p>
              </w:tc>
              <w:tc>
                <w:tcPr>
                  <w:tcW w:w="4456" w:type="dxa"/>
                  <w:noWrap w:val="0"/>
                  <w:vAlign w:val="center"/>
                </w:tcPr>
                <w:p>
                  <w:pPr>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通过</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选用低噪设备，合理布置噪声源，并对噪声较大设备釆取减振、隔声等合理有效的降噪措施，同时控制作业时间。项目边界噪声排放</w:t>
                  </w:r>
                  <w:r>
                    <w:rPr>
                      <w:rFonts w:hint="default" w:ascii="Times New Roman" w:hAnsi="Times New Roman" w:cs="Times New Roman"/>
                      <w:color w:val="000000" w:themeColor="text1"/>
                      <w:sz w:val="21"/>
                      <w:szCs w:val="21"/>
                      <w:lang w:val="en-US" w:eastAsia="zh-CN"/>
                      <w14:textFill>
                        <w14:solidFill>
                          <w14:schemeClr w14:val="tx1"/>
                        </w14:solidFill>
                      </w14:textFill>
                    </w:rPr>
                    <w:t>能够达到</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《工业企业厂 界环境噪声排放标准》</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(GB12348-2008)</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TW" w:eastAsia="zh-TW"/>
                      <w14:textFill>
                        <w14:solidFill>
                          <w14:schemeClr w14:val="tx1"/>
                        </w14:solidFill>
                      </w14:textFill>
                    </w:rPr>
                    <w:t>固体废物：项目金属边角料和粉尘收集后外卖给收购商综合利用；喷粉工序收集的粉尘回用于生产；生活垃圾交由环卫部门处理。</w:t>
                  </w:r>
                </w:p>
              </w:tc>
              <w:tc>
                <w:tcPr>
                  <w:tcW w:w="4456" w:type="dxa"/>
                  <w:noWrap w:val="0"/>
                  <w:vAlign w:val="center"/>
                </w:tcPr>
                <w:p>
                  <w:pPr>
                    <w:spacing w:line="360" w:lineRule="auto"/>
                    <w:ind w:firstLine="420" w:firstLineChars="200"/>
                    <w:jc w:val="left"/>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固体废物</w:t>
                  </w:r>
                  <w:r>
                    <w:rPr>
                      <w:rFonts w:hint="default" w:ascii="Times New Roman" w:hAnsi="Times New Roman" w:cs="Times New Roman"/>
                      <w:color w:val="000000" w:themeColor="text1"/>
                      <w:lang w:val="en-US" w:eastAsia="zh-CN"/>
                      <w14:textFill>
                        <w14:solidFill>
                          <w14:schemeClr w14:val="tx1"/>
                        </w14:solidFill>
                      </w14:textFill>
                    </w:rPr>
                    <w:t>能够按照</w:t>
                  </w:r>
                  <w:r>
                    <w:rPr>
                      <w:rFonts w:hint="default" w:ascii="Times New Roman" w:hAnsi="Times New Roman" w:cs="Times New Roman"/>
                      <w:color w:val="000000" w:themeColor="text1"/>
                      <w14:textFill>
                        <w14:solidFill>
                          <w14:schemeClr w14:val="tx1"/>
                        </w14:solidFill>
                      </w14:textFill>
                    </w:rPr>
                    <w:t>《一般工业固体废物贮存、处置场污染控制标准》（GB18599-2001）及其2013年修改单有关规定</w:t>
                  </w:r>
                  <w:r>
                    <w:rPr>
                      <w:rFonts w:hint="default" w:ascii="Times New Roman" w:hAnsi="Times New Roman" w:cs="Times New Roman"/>
                      <w:color w:val="000000" w:themeColor="text1"/>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lang w:val="zh-TW" w:eastAsia="zh-TW"/>
                      <w14:textFill>
                        <w14:solidFill>
                          <w14:schemeClr w14:val="tx1"/>
                        </w14:solidFill>
                      </w14:textFill>
                    </w:rPr>
                    <w:t>项目金属边角料和粉尘收集后外卖给收购商综合利用；喷粉工序收集的粉尘回用于生产；生活垃圾交由环卫部门处理。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四</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若项目的性质、规模、地点、使用功能、排污状况、采用的生产工艺或者防范污染的措施发生重大变动，你单位应当重新报批项目环评文件</w:t>
                  </w:r>
                </w:p>
              </w:tc>
              <w:tc>
                <w:tcPr>
                  <w:tcW w:w="4456" w:type="dxa"/>
                  <w:noWrap w:val="0"/>
                  <w:vAlign w:val="center"/>
                </w:tcPr>
                <w:p>
                  <w:pPr>
                    <w:adjustRightInd w:val="0"/>
                    <w:snapToGrid w:val="0"/>
                    <w:spacing w:line="360" w:lineRule="auto"/>
                    <w:ind w:firstLine="420" w:firstLineChars="20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本项目目前的建设性质、规模、地点、使用功能、排污状况、采用的生产工艺和防范污染的措施能够基本按照环评报告表的要求实施。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noWrap w:val="0"/>
                  <w:vAlign w:val="center"/>
                </w:tcPr>
                <w:p>
                  <w:pPr>
                    <w:snapToGrid w:val="0"/>
                    <w:spacing w:line="36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五</w:t>
                  </w:r>
                </w:p>
              </w:tc>
              <w:tc>
                <w:tcPr>
                  <w:tcW w:w="38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建设项目应严格执行配套建设的环境保护设施与主体工程同时设计、同时施工。项目环保设施建成后，需验收合格，方可正式生产。</w:t>
                  </w:r>
                </w:p>
              </w:tc>
              <w:tc>
                <w:tcPr>
                  <w:tcW w:w="4456" w:type="dxa"/>
                  <w:noWrap w:val="0"/>
                  <w:vAlign w:val="center"/>
                </w:tcPr>
                <w:p>
                  <w:pPr>
                    <w:snapToGrid w:val="0"/>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本建设项目已严格执行配套建设的环境保护设施与主体工程同时设计、同时施工、同时投产使用的环保“三同时”制度，现根据《国务院关于&lt;关于修改建设项目环境保护管理条例&gt;的决定》（国令第682号）要求，开展环境保护验收工作。</w:t>
                  </w:r>
                </w:p>
              </w:tc>
            </w:tr>
          </w:tbl>
          <w:p>
            <w:pPr>
              <w:widowControl/>
              <w:adjustRightInd w:val="0"/>
              <w:snapToGrid w:val="0"/>
              <w:spacing w:before="0" w:after="159" w:afterLines="50" w:line="360" w:lineRule="auto"/>
              <w:ind w:firstLine="0" w:firstLineChars="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r>
    </w:tbl>
    <w:p>
      <w:pPr>
        <w:snapToGrid w:val="0"/>
        <w:outlineLvl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30"/>
          <w:szCs w:val="30"/>
          <w14:textFill>
            <w14:solidFill>
              <w14:schemeClr w14:val="tx1"/>
            </w14:solidFill>
          </w14:textFill>
        </w:rPr>
        <w:br w:type="page"/>
      </w:r>
      <w:bookmarkStart w:id="26" w:name="_Toc11487"/>
      <w:bookmarkStart w:id="27" w:name="_Toc4465"/>
      <w:r>
        <w:rPr>
          <w:rFonts w:hint="default" w:ascii="Times New Roman" w:hAnsi="Times New Roman" w:cs="Times New Roman"/>
          <w:b/>
          <w:color w:val="000000" w:themeColor="text1"/>
          <w:sz w:val="30"/>
          <w:szCs w:val="30"/>
          <w14:textFill>
            <w14:solidFill>
              <w14:schemeClr w14:val="tx1"/>
            </w14:solidFill>
          </w14:textFill>
        </w:rPr>
        <w:t>表八  验收监测结论及建议</w:t>
      </w:r>
      <w:bookmarkEnd w:id="26"/>
      <w:bookmarkEnd w:id="27"/>
    </w:p>
    <w:tbl>
      <w:tblPr>
        <w:tblStyle w:val="12"/>
        <w:tblpPr w:leftFromText="180" w:rightFromText="180" w:vertAnchor="text" w:horzAnchor="page" w:tblpXSpec="center" w:tblpY="27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7" w:hRule="atLeast"/>
          <w:jc w:val="center"/>
        </w:trPr>
        <w:tc>
          <w:tcPr>
            <w:tcW w:w="9094" w:type="dxa"/>
          </w:tcPr>
          <w:p>
            <w:pPr>
              <w:snapToGrid w:val="0"/>
              <w:spacing w:before="159" w:beforeLines="50"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验收监测结论</w:t>
            </w:r>
          </w:p>
          <w:p>
            <w:pPr>
              <w:adjustRightInd w:val="0"/>
              <w:snapToGrid w:val="0"/>
              <w:spacing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一、项目概况</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位于</w:t>
            </w:r>
            <w:r>
              <w:rPr>
                <w:rFonts w:hint="default" w:ascii="Times New Roman" w:hAnsi="Times New Roman" w:cs="Times New Roman"/>
                <w:color w:val="000000" w:themeColor="text1"/>
                <w:sz w:val="24"/>
                <w:szCs w:val="24"/>
                <w:lang w:eastAsia="zh-CN"/>
                <w14:textFill>
                  <w14:solidFill>
                    <w14:schemeClr w14:val="tx1"/>
                  </w14:solidFill>
                </w14:textFill>
              </w:rPr>
              <w:t>梅州市梅江区三角镇梅州金三角旋窑水泥厂有限公司8号楼</w:t>
            </w:r>
            <w:r>
              <w:rPr>
                <w:rFonts w:hint="default" w:ascii="Times New Roman" w:hAnsi="Times New Roman" w:cs="Times New Roman"/>
                <w:color w:val="000000" w:themeColor="text1"/>
                <w:sz w:val="24"/>
                <w:szCs w:val="24"/>
                <w14:textFill>
                  <w14:solidFill>
                    <w14:schemeClr w14:val="tx1"/>
                  </w14:solidFill>
                </w14:textFill>
              </w:rPr>
              <w:t>，由</w:t>
            </w: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w:t>
            </w:r>
            <w:r>
              <w:rPr>
                <w:rFonts w:hint="default" w:ascii="Times New Roman" w:hAnsi="Times New Roman" w:cs="Times New Roman"/>
                <w:color w:val="000000" w:themeColor="text1"/>
                <w:sz w:val="24"/>
                <w:szCs w:val="24"/>
                <w14:textFill>
                  <w14:solidFill>
                    <w14:schemeClr w14:val="tx1"/>
                  </w14:solidFill>
                </w14:textFill>
              </w:rPr>
              <w:t>投资建设。项目总投资为</w:t>
            </w:r>
            <w:r>
              <w:rPr>
                <w:rFonts w:hint="default" w:ascii="Times New Roman" w:hAnsi="Times New Roman"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14:textFill>
                  <w14:solidFill>
                    <w14:schemeClr w14:val="tx1"/>
                  </w14:solidFill>
                </w14:textFill>
              </w:rPr>
              <w:t>万元，其中环保投资</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万元，占总投资的</w:t>
            </w:r>
            <w:r>
              <w:rPr>
                <w:rFonts w:hint="default" w:ascii="Times New Roman" w:hAnsi="Times New Roman" w:cs="Times New Roman"/>
                <w:color w:val="000000" w:themeColor="text1"/>
                <w:sz w:val="24"/>
                <w:szCs w:val="24"/>
                <w:lang w:val="en-US" w:eastAsia="zh-CN"/>
                <w14:textFill>
                  <w14:solidFill>
                    <w14:schemeClr w14:val="tx1"/>
                  </w14:solidFill>
                </w14:textFill>
              </w:rPr>
              <w:t>40</w:t>
            </w:r>
            <w:r>
              <w:rPr>
                <w:rFonts w:hint="default" w:ascii="Times New Roman" w:hAnsi="Times New Roman" w:cs="Times New Roman"/>
                <w:color w:val="000000" w:themeColor="text1"/>
                <w:sz w:val="24"/>
                <w:szCs w:val="24"/>
                <w14:textFill>
                  <w14:solidFill>
                    <w14:schemeClr w14:val="tx1"/>
                  </w14:solidFill>
                </w14:textFill>
              </w:rPr>
              <w:t>%，项目设计</w:t>
            </w:r>
            <w:r>
              <w:rPr>
                <w:rFonts w:hint="default" w:ascii="Times New Roman" w:hAnsi="Times New Roman" w:cs="Times New Roman"/>
                <w:color w:val="000000" w:themeColor="text1"/>
                <w:sz w:val="24"/>
                <w:szCs w:val="24"/>
                <w:lang w:eastAsia="zh-CN"/>
                <w14:textFill>
                  <w14:solidFill>
                    <w14:schemeClr w14:val="tx1"/>
                  </w14:solidFill>
                </w14:textFill>
              </w:rPr>
              <w:t>年产楼梯扶手14吨</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占地面积</w:t>
            </w:r>
            <w:r>
              <w:rPr>
                <w:rFonts w:hint="default" w:ascii="Times New Roman" w:hAnsi="Times New Roman" w:cs="Times New Roman"/>
                <w:color w:val="000000" w:themeColor="text1"/>
                <w:sz w:val="24"/>
                <w:lang w:val="en-US" w:eastAsia="zh-CN"/>
                <w14:textFill>
                  <w14:solidFill>
                    <w14:schemeClr w14:val="tx1"/>
                  </w14:solidFill>
                </w14:textFill>
              </w:rPr>
              <w:t>398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，总建筑面积约为</w:t>
            </w:r>
            <w:r>
              <w:rPr>
                <w:rFonts w:hint="default" w:ascii="Times New Roman" w:hAnsi="Times New Roman" w:cs="Times New Roman"/>
                <w:color w:val="000000" w:themeColor="text1"/>
                <w:sz w:val="24"/>
                <w:lang w:val="en-US" w:eastAsia="zh-CN"/>
                <w14:textFill>
                  <w14:solidFill>
                    <w14:schemeClr w14:val="tx1"/>
                  </w14:solidFill>
                </w14:textFill>
              </w:rPr>
              <w:t>398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。厂区内包括</w:t>
            </w:r>
            <w:r>
              <w:rPr>
                <w:rFonts w:hint="default" w:ascii="Times New Roman" w:hAnsi="Times New Roman" w:eastAsia="宋体" w:cs="Times New Roman"/>
                <w:color w:val="000000" w:themeColor="text1"/>
                <w:sz w:val="24"/>
                <w:lang w:val="en-US" w:eastAsia="zh-CN"/>
                <w14:textFill>
                  <w14:solidFill>
                    <w14:schemeClr w14:val="tx1"/>
                  </w14:solidFill>
                </w14:textFill>
              </w:rPr>
              <w:t>切割</w:t>
            </w:r>
            <w:r>
              <w:rPr>
                <w:rFonts w:hint="default" w:ascii="Times New Roman" w:hAnsi="Times New Roman" w:cs="Times New Roman"/>
                <w:color w:val="000000" w:themeColor="text1"/>
                <w:sz w:val="24"/>
                <w14:textFill>
                  <w14:solidFill>
                    <w14:schemeClr w14:val="tx1"/>
                  </w14:solidFill>
                </w14:textFill>
              </w:rPr>
              <w:t>区</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烘干区、喷粉房、成品和原料堆放区</w:t>
            </w:r>
            <w:r>
              <w:rPr>
                <w:rFonts w:hint="default" w:ascii="Times New Roman" w:hAnsi="Times New Roman" w:cs="Times New Roman"/>
                <w:color w:val="000000" w:themeColor="text1"/>
                <w:sz w:val="24"/>
                <w14:textFill>
                  <w14:solidFill>
                    <w14:schemeClr w14:val="tx1"/>
                  </w14:solidFill>
                </w14:textFill>
              </w:rPr>
              <w:t>等</w:t>
            </w:r>
            <w:r>
              <w:rPr>
                <w:rFonts w:hint="eastAsia" w:ascii="Times New Roman" w:hAnsi="Times New Roman" w:cs="Times New Roman"/>
                <w:color w:val="000000" w:themeColor="text1"/>
                <w:sz w:val="24"/>
                <w:lang w:val="en-US" w:eastAsia="zh-CN"/>
                <w14:textFill>
                  <w14:solidFill>
                    <w14:schemeClr w14:val="tx1"/>
                  </w14:solidFill>
                </w14:textFill>
              </w:rPr>
              <w:t>。</w:t>
            </w:r>
          </w:p>
          <w:p>
            <w:pPr>
              <w:spacing w:line="36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二、环保治理设施情况</w:t>
            </w:r>
          </w:p>
          <w:p>
            <w:pPr>
              <w:numPr>
                <w:ilvl w:val="0"/>
                <w:numId w:val="10"/>
              </w:numPr>
              <w:spacing w:line="360" w:lineRule="auto"/>
              <w:ind w:left="990" w:hanging="45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废水</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项目无生产废水产生；生活污水经化粪池处理后用于厂区绿化或附近农灌、林灌。</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经现场监测，该项目生活污水三级化粪池处理后能满足《农田灌溉水质标准》（GB5084-2005）旱作</w:t>
            </w:r>
            <w:r>
              <w:rPr>
                <w:rFonts w:hint="default" w:ascii="Times New Roman" w:hAnsi="Times New Roman" w:cs="Times New Roman"/>
                <w:color w:val="000000" w:themeColor="text1"/>
                <w:sz w:val="24"/>
                <w:lang w:val="en-US" w:eastAsia="zh-CN"/>
                <w14:textFill>
                  <w14:solidFill>
                    <w14:schemeClr w14:val="tx1"/>
                  </w14:solidFill>
                </w14:textFill>
              </w:rPr>
              <w:t>物水质</w:t>
            </w:r>
            <w:r>
              <w:rPr>
                <w:rFonts w:hint="default" w:ascii="Times New Roman" w:hAnsi="Times New Roman" w:cs="Times New Roman"/>
                <w:color w:val="000000" w:themeColor="text1"/>
                <w:sz w:val="24"/>
                <w14:textFill>
                  <w14:solidFill>
                    <w14:schemeClr w14:val="tx1"/>
                  </w14:solidFill>
                </w14:textFill>
              </w:rPr>
              <w:t>标准</w:t>
            </w:r>
            <w:r>
              <w:rPr>
                <w:rFonts w:hint="default" w:ascii="Times New Roman" w:hAnsi="Times New Roman" w:cs="Times New Roman"/>
                <w:color w:val="000000" w:themeColor="text1"/>
                <w:sz w:val="24"/>
                <w:szCs w:val="24"/>
                <w14:textFill>
                  <w14:solidFill>
                    <w14:schemeClr w14:val="tx1"/>
                  </w14:solidFill>
                </w14:textFill>
              </w:rPr>
              <w:t>。</w:t>
            </w:r>
          </w:p>
          <w:p>
            <w:pPr>
              <w:ind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2、废气</w:t>
            </w:r>
          </w:p>
          <w:p>
            <w:pPr>
              <w:spacing w:line="360" w:lineRule="auto"/>
              <w:ind w:firstLine="480" w:firstLineChars="200"/>
              <w:jc w:val="left"/>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项目在切割、打磨、喷粉等工序生产过程中产生的粉尘</w:t>
            </w:r>
            <w:r>
              <w:rPr>
                <w:rFonts w:hint="default" w:ascii="Times New Roman" w:hAnsi="Times New Roman" w:cs="Times New Roman"/>
                <w:color w:val="000000" w:themeColor="text1"/>
                <w:sz w:val="24"/>
                <w:szCs w:val="24"/>
                <w:lang w:val="en-US" w:eastAsia="zh-CN"/>
                <w14:textFill>
                  <w14:solidFill>
                    <w14:schemeClr w14:val="tx1"/>
                  </w14:solidFill>
                </w14:textFill>
              </w:rPr>
              <w:t>通过加强通风，自然沉降等措施处理后以无组织形式排放。</w:t>
            </w:r>
          </w:p>
          <w:p>
            <w:pPr>
              <w:spacing w:line="360" w:lineRule="auto"/>
              <w:ind w:firstLine="480" w:firstLineChars="200"/>
              <w:jc w:val="left"/>
              <w:rPr>
                <w:rFonts w:hint="default" w:ascii="Times New Roman" w:hAnsi="Times New Roman" w:eastAsia="宋体" w:cs="Times New Roman"/>
                <w:color w:val="000000" w:themeColor="text1"/>
                <w:sz w:val="24"/>
                <w:szCs w:val="24"/>
                <w:lang w:val="zh-TW" w:eastAsia="zh-TW"/>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经监测，项目颗粒物</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无组织排放符合《大气污染物排放限值》</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(DB44/27-2001)</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第二时段无组织排放限值的要求；</w:t>
            </w:r>
          </w:p>
          <w:p>
            <w:pPr>
              <w:spacing w:line="360" w:lineRule="auto"/>
              <w:ind w:firstLine="480" w:firstLineChars="200"/>
              <w:jc w:val="left"/>
              <w:rPr>
                <w:rFonts w:hint="default" w:ascii="Times New Roman" w:hAnsi="Times New Roman" w:eastAsia="宋体" w:cs="Times New Roman"/>
                <w:color w:val="000000" w:themeColor="text1"/>
                <w:sz w:val="24"/>
                <w:szCs w:val="24"/>
                <w:lang w:val="zh-TW"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固化工序有机废气经集气罩收集和UV光解装置处理后</w:t>
            </w:r>
            <w:r>
              <w:rPr>
                <w:rFonts w:hint="eastAsia" w:ascii="Times New Roman" w:hAnsi="Times New Roman" w:cs="Times New Roman"/>
                <w:color w:val="000000" w:themeColor="text1"/>
                <w:sz w:val="24"/>
                <w:szCs w:val="24"/>
                <w:lang w:val="zh-TW" w:eastAsia="zh-CN"/>
                <w14:textFill>
                  <w14:solidFill>
                    <w14:schemeClr w14:val="tx1"/>
                  </w14:solidFill>
                </w14:textFill>
              </w:rPr>
              <w:t>7m高</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排气筒高空排放</w:t>
            </w:r>
            <w:r>
              <w:rPr>
                <w:rFonts w:hint="default" w:ascii="Times New Roman" w:hAnsi="Times New Roman" w:eastAsia="宋体" w:cs="Times New Roman"/>
                <w:color w:val="000000" w:themeColor="text1"/>
                <w:sz w:val="24"/>
                <w:szCs w:val="24"/>
                <w:lang w:val="zh-TW" w:eastAsia="zh-CN"/>
                <w14:textFill>
                  <w14:solidFill>
                    <w14:schemeClr w14:val="tx1"/>
                  </w14:solidFill>
                </w14:textFill>
              </w:rPr>
              <w:t>。</w:t>
            </w:r>
          </w:p>
          <w:p>
            <w:pPr>
              <w:widowControl w:val="0"/>
              <w:spacing w:before="0" w:line="360" w:lineRule="auto"/>
              <w:ind w:firstLine="480" w:firstLineChars="200"/>
              <w:jc w:val="both"/>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经监测，本项目</w:t>
            </w:r>
            <w:r>
              <w:rPr>
                <w:rFonts w:hint="default" w:ascii="Times New Roman" w:hAnsi="Times New Roman" w:cs="Times New Roman" w:eastAsiaTheme="minorEastAsia"/>
                <w:color w:val="000000" w:themeColor="text1"/>
                <w:sz w:val="24"/>
                <w:szCs w:val="24"/>
                <w:lang w:val="zh-TW" w:eastAsia="zh-TW"/>
                <w14:textFill>
                  <w14:solidFill>
                    <w14:schemeClr w14:val="tx1"/>
                  </w14:solidFill>
                </w14:textFill>
              </w:rPr>
              <w:t>固化工序有机废气排放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w:t>
            </w:r>
            <w:r>
              <w:rPr>
                <w:rFonts w:hint="default" w:ascii="Times New Roman" w:hAnsi="Times New Roman" w:cs="Times New Roman" w:eastAsiaTheme="minorEastAsia"/>
                <w:color w:val="000000" w:themeColor="text1"/>
                <w:sz w:val="24"/>
                <w:szCs w:val="24"/>
                <w:lang w:val="zh-TW" w:eastAsia="zh-TW"/>
                <w14:textFill>
                  <w14:solidFill>
                    <w14:schemeClr w14:val="tx1"/>
                  </w14:solidFill>
                </w14:textFill>
              </w:rPr>
              <w:t>《家具制造行业挥发性有机化合物排放标准》</w:t>
            </w:r>
            <w:r>
              <w:rPr>
                <w:rFonts w:hint="default" w:ascii="Times New Roman" w:hAnsi="Times New Roman" w:cs="Times New Roman" w:eastAsiaTheme="minorEastAsia"/>
                <w:color w:val="000000" w:themeColor="text1"/>
                <w:sz w:val="24"/>
                <w:szCs w:val="24"/>
                <w:lang w:val="en-US" w:eastAsia="en-US"/>
                <w14:textFill>
                  <w14:solidFill>
                    <w14:schemeClr w14:val="tx1"/>
                  </w14:solidFill>
                </w14:textFill>
              </w:rPr>
              <w:t>(DB44/814-2010)</w:t>
            </w:r>
            <w:r>
              <w:rPr>
                <w:rFonts w:hint="default" w:ascii="Times New Roman" w:hAnsi="Times New Roman" w:cs="Times New Roman" w:eastAsiaTheme="minorEastAsia"/>
                <w:color w:val="000000" w:themeColor="text1"/>
                <w:sz w:val="24"/>
                <w:szCs w:val="24"/>
                <w:lang w:val="zh-TW" w:eastAsia="zh-TW"/>
                <w14:textFill>
                  <w14:solidFill>
                    <w14:schemeClr w14:val="tx1"/>
                  </w14:solidFill>
                </w14:textFill>
              </w:rPr>
              <w:t>第II时段标准。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w:t>
            </w:r>
            <w:r>
              <w:rPr>
                <w:rFonts w:hint="default" w:ascii="Times New Roman" w:hAnsi="Times New Roman" w:cs="Times New Roman" w:eastAsiaTheme="minorEastAsia"/>
                <w:color w:val="000000" w:themeColor="text1"/>
                <w:sz w:val="24"/>
                <w:szCs w:val="24"/>
                <w:lang w:val="zh-CN"/>
                <w14:textFill>
                  <w14:solidFill>
                    <w14:schemeClr w14:val="tx1"/>
                  </w14:solidFill>
                </w14:textFill>
              </w:rPr>
              <w:t>总VOCs的检测结果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w:t>
            </w:r>
            <w:r>
              <w:rPr>
                <w:rFonts w:hint="default" w:ascii="Times New Roman" w:hAnsi="Times New Roman" w:cs="Times New Roman" w:eastAsiaTheme="minorEastAsia"/>
                <w:color w:val="000000" w:themeColor="text1"/>
                <w:sz w:val="24"/>
                <w:szCs w:val="24"/>
                <w:lang w:val="zh-CN"/>
                <w14:textFill>
                  <w14:solidFill>
                    <w14:schemeClr w14:val="tx1"/>
                  </w14:solidFill>
                </w14:textFill>
              </w:rPr>
              <w:t>广东省地方标准《家具制造行业挥发性有机化合物排放标准》（DB44/814-2010）表2无组织排放监控点浓度限值要求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spacing w:line="360" w:lineRule="auto"/>
              <w:ind w:left="54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3、噪声</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zh-TW" w:eastAsia="zh-TW"/>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color w:val="000000" w:themeColor="text1"/>
                <w:sz w:val="24"/>
                <w:szCs w:val="24"/>
                <w:lang w:val="zh-TW" w:eastAsia="zh-TW"/>
                <w14:textFill>
                  <w14:solidFill>
                    <w14:schemeClr w14:val="tx1"/>
                  </w14:solidFill>
                </w14:textFill>
              </w:rPr>
              <w:t>选用低噪设备，合理布置噪声源，并对噪声较大设备釆取减振、隔声等合理有效的降噪措施，同时控制作业时间。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经现场监测，该项目厂界噪声均达到《工业企业厂界环境噪声排放标准》（GB12348-2008）2类标准。</w:t>
            </w:r>
          </w:p>
          <w:p>
            <w:pPr>
              <w:spacing w:line="360" w:lineRule="auto"/>
              <w:ind w:left="54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4、固体废物</w:t>
            </w:r>
          </w:p>
          <w:p>
            <w:pPr>
              <w:snapToGrid w:val="0"/>
              <w:spacing w:line="360" w:lineRule="auto"/>
              <w:ind w:firstLine="470" w:firstLineChars="196"/>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项目营运过程主要为厂内员工生活垃圾、边角废料、除尘设备回收粉尘</w:t>
            </w:r>
            <w:r>
              <w:rPr>
                <w:rFonts w:hint="default" w:ascii="Times New Roman" w:hAnsi="Times New Roman" w:cs="Times New Roman"/>
                <w:color w:val="000000" w:themeColor="text1"/>
                <w:sz w:val="24"/>
                <w:szCs w:val="24"/>
                <w:lang w:eastAsia="zh-CN"/>
                <w14:textFill>
                  <w14:solidFill>
                    <w14:schemeClr w14:val="tx1"/>
                  </w14:solidFill>
                </w14:textFill>
              </w:rPr>
              <w:t>。、</w:t>
            </w:r>
          </w:p>
          <w:p>
            <w:pPr>
              <w:snapToGrid w:val="0"/>
              <w:spacing w:line="360" w:lineRule="auto"/>
              <w:ind w:firstLine="470" w:firstLineChars="196"/>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项目金属边角料和粉尘收集后外卖给收购商综合利用；喷粉工序收集的粉尘回用于生产；生活垃圾交由环卫部门处理。</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综上所述，该项目产生的固体废弃物经上述处理后均能得到合理处置或综合利用，不会对周围环境产生明显的影响。</w:t>
            </w:r>
          </w:p>
          <w:p>
            <w:pPr>
              <w:spacing w:line="360" w:lineRule="auto"/>
              <w:ind w:firstLine="360" w:firstLineChars="150"/>
              <w:rPr>
                <w:rFonts w:hint="default" w:ascii="Times New Roman" w:hAnsi="Times New Roman" w:cs="Times New Roman"/>
                <w:b/>
                <w:color w:val="000000" w:themeColor="text1"/>
                <w:spacing w:val="2"/>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5、综合结论</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基本能按照</w:t>
            </w:r>
            <w:r>
              <w:rPr>
                <w:rFonts w:hint="default" w:ascii="Times New Roman" w:hAnsi="Times New Roman" w:cs="Times New Roman"/>
                <w:color w:val="000000" w:themeColor="text1"/>
                <w:kern w:val="0"/>
                <w:sz w:val="24"/>
                <w:lang w:eastAsia="zh-CN"/>
                <w14:textFill>
                  <w14:solidFill>
                    <w14:schemeClr w14:val="tx1"/>
                  </w14:solidFill>
                </w14:textFill>
              </w:rPr>
              <w:t>江苏新清源环保有限公司</w:t>
            </w:r>
            <w:r>
              <w:rPr>
                <w:rFonts w:hint="default" w:ascii="Times New Roman" w:hAnsi="Times New Roman" w:cs="Times New Roman"/>
                <w:color w:val="000000" w:themeColor="text1"/>
                <w:sz w:val="24"/>
                <w:szCs w:val="24"/>
                <w14:textFill>
                  <w14:solidFill>
                    <w14:schemeClr w14:val="tx1"/>
                  </w14:solidFill>
                </w14:textFill>
              </w:rPr>
              <w:t>编制的《</w:t>
            </w: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环境影响报告表》及梅州市梅江区环境保护局《关于</w:t>
            </w:r>
            <w:r>
              <w:rPr>
                <w:rFonts w:hint="default" w:ascii="Times New Roman" w:hAnsi="Times New Roman" w:cs="Times New Roman"/>
                <w:color w:val="000000" w:themeColor="text1"/>
                <w:sz w:val="24"/>
                <w:szCs w:val="24"/>
                <w:lang w:eastAsia="zh-CN"/>
                <w14:textFill>
                  <w14:solidFill>
                    <w14:schemeClr w14:val="tx1"/>
                  </w14:solidFill>
                </w14:textFill>
              </w:rPr>
              <w:t>梅州市佳顺发实业有限公司楼梯扶手生产项目</w:t>
            </w:r>
            <w:r>
              <w:rPr>
                <w:rFonts w:hint="default" w:ascii="Times New Roman" w:hAnsi="Times New Roman" w:cs="Times New Roman"/>
                <w:color w:val="000000" w:themeColor="text1"/>
                <w:sz w:val="24"/>
                <w:szCs w:val="24"/>
                <w14:textFill>
                  <w14:solidFill>
                    <w14:schemeClr w14:val="tx1"/>
                  </w14:solidFill>
                </w14:textFill>
              </w:rPr>
              <w:t>环境影响报告表的批复》（梅区环建函[201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]0</w:t>
            </w:r>
            <w:r>
              <w:rPr>
                <w:rFonts w:hint="default" w:ascii="Times New Roman" w:hAnsi="Times New Roman" w:cs="Times New Roman"/>
                <w:color w:val="000000" w:themeColor="text1"/>
                <w:sz w:val="24"/>
                <w:szCs w:val="24"/>
                <w:lang w:val="en-US" w:eastAsia="zh-CN"/>
                <w14:textFill>
                  <w14:solidFill>
                    <w14:schemeClr w14:val="tx1"/>
                  </w14:solidFill>
                </w14:textFill>
              </w:rPr>
              <w:t>47</w:t>
            </w:r>
            <w:r>
              <w:rPr>
                <w:rFonts w:hint="default" w:ascii="Times New Roman" w:hAnsi="Times New Roman" w:cs="Times New Roman"/>
                <w:color w:val="000000" w:themeColor="text1"/>
                <w:sz w:val="24"/>
                <w:szCs w:val="24"/>
                <w14:textFill>
                  <w14:solidFill>
                    <w14:schemeClr w14:val="tx1"/>
                  </w14:solidFill>
                </w14:textFill>
              </w:rPr>
              <w:t>号）的要求，落实各项相关环保措施，经</w:t>
            </w:r>
            <w:r>
              <w:rPr>
                <w:rFonts w:hint="default" w:ascii="Times New Roman" w:hAnsi="Times New Roman" w:cs="Times New Roman"/>
                <w:color w:val="000000" w:themeColor="text1"/>
                <w:sz w:val="24"/>
                <w:szCs w:val="24"/>
                <w:lang w:eastAsia="zh-CN"/>
                <w14:textFill>
                  <w14:solidFill>
                    <w14:schemeClr w14:val="tx1"/>
                  </w14:solidFill>
                </w14:textFill>
              </w:rPr>
              <w:t>广东准星检测有限公司</w:t>
            </w:r>
            <w:r>
              <w:rPr>
                <w:rFonts w:hint="default" w:ascii="Times New Roman" w:hAnsi="Times New Roman" w:cs="Times New Roman"/>
                <w:color w:val="000000" w:themeColor="text1"/>
                <w:sz w:val="24"/>
                <w:szCs w:val="24"/>
                <w14:textFill>
                  <w14:solidFill>
                    <w14:schemeClr w14:val="tx1"/>
                  </w14:solidFill>
                </w14:textFill>
              </w:rPr>
              <w:t>监测，监测结果表明该项目建成运营期各项污染治理设施运行正常，对周围环境没有产生明显的影响，基本符合“竣</w:t>
            </w:r>
            <w:r>
              <w:rPr>
                <w:rFonts w:hint="default" w:ascii="Times New Roman" w:hAnsi="Times New Roman" w:cs="Times New Roman"/>
                <w:color w:val="000000" w:themeColor="text1"/>
                <w:sz w:val="24"/>
                <w14:textFill>
                  <w14:solidFill>
                    <w14:schemeClr w14:val="tx1"/>
                  </w14:solidFill>
                </w14:textFill>
              </w:rPr>
              <w:t>工环境保护”验收要求。</w:t>
            </w:r>
          </w:p>
          <w:p>
            <w:pPr>
              <w:snapToGrid w:val="0"/>
              <w:spacing w:line="360" w:lineRule="auto"/>
              <w:rPr>
                <w:rFonts w:hint="default" w:ascii="Times New Roman" w:hAnsi="Times New Roman" w:cs="Times New Roman"/>
                <w:b/>
                <w:color w:val="000000" w:themeColor="text1"/>
                <w:sz w:val="28"/>
                <w:szCs w:val="28"/>
                <w14:textFill>
                  <w14:solidFill>
                    <w14:schemeClr w14:val="tx1"/>
                  </w14:solidFill>
                </w14:textFill>
              </w:rPr>
            </w:pPr>
          </w:p>
          <w:p>
            <w:pPr>
              <w:snapToGrid w:val="0"/>
              <w:spacing w:line="360" w:lineRule="auto"/>
              <w:rPr>
                <w:rFonts w:hint="default" w:ascii="Times New Roman" w:hAnsi="Times New Roman" w:cs="Times New Roman"/>
                <w:b/>
                <w:color w:val="000000" w:themeColor="text1"/>
                <w:sz w:val="28"/>
                <w:szCs w:val="28"/>
                <w14:textFill>
                  <w14:solidFill>
                    <w14:schemeClr w14:val="tx1"/>
                  </w14:solidFill>
                </w14:textFill>
              </w:rPr>
            </w:pPr>
          </w:p>
          <w:p>
            <w:pPr>
              <w:snapToGrid w:val="0"/>
              <w:spacing w:line="36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建  议：</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、加强对各项污染治理设施的运行管理，确保各项治理设施的正常运作，各项污染物指标达标排放；</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、制定相应的岗位责任制和操作规程，并有专人负责，确保设施正常运转，做到定期对设备进行检查</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、应急措施：建设单位应制定一套严谨、高效的应急处理机制，确定发生事故后能作用及时、有效的反应，将影响减少到最低程度。</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、建设单位应切实做好水土保持工作及闭场后生态恢复工作，从而减小该项目对周围生态环境的影响。</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、注重企业的环境管理，推行清洁生产，减少污染物排放，制定有效可行的环保规章制度。</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、对生产机械采取有效的隔音、减振等降噪措施，确保厂界噪声符合《工业企业厂界环境噪声排放标准》（GB12348-2008）2类功能区要求。</w:t>
            </w:r>
          </w:p>
          <w:p>
            <w:pPr>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、建议加强搞好厂区内外环境的绿化工作，以减少项目的建设对附近区域生态环境的影响。</w:t>
            </w: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rPr>
                <w:rFonts w:hint="default" w:ascii="Times New Roman" w:hAnsi="Times New Roman" w:cs="Times New Roman"/>
                <w:color w:val="000000" w:themeColor="text1"/>
                <w:sz w:val="24"/>
                <w:szCs w:val="24"/>
                <w14:textFill>
                  <w14:solidFill>
                    <w14:schemeClr w14:val="tx1"/>
                  </w14:solidFill>
                </w14:textFill>
              </w:rPr>
            </w:pPr>
          </w:p>
          <w:p>
            <w:pPr>
              <w:pStyle w:val="2"/>
              <w:ind w:left="0" w:leftChars="0" w:firstLine="0" w:firstLineChars="0"/>
              <w:rPr>
                <w:rFonts w:hint="default" w:ascii="Times New Roman" w:hAnsi="Times New Roman" w:cs="Times New Roman"/>
                <w:color w:val="000000" w:themeColor="text1"/>
                <w:sz w:val="24"/>
                <w:szCs w:val="24"/>
                <w14:textFill>
                  <w14:solidFill>
                    <w14:schemeClr w14:val="tx1"/>
                  </w14:solidFill>
                </w14:textFill>
              </w:rPr>
            </w:pPr>
          </w:p>
          <w:p>
            <w:pPr>
              <w:snapToGrid w:val="0"/>
              <w:spacing w:line="360" w:lineRule="auto"/>
              <w:ind w:firstLine="420" w:firstLineChars="200"/>
              <w:rPr>
                <w:rFonts w:hint="default" w:ascii="Times New Roman" w:hAnsi="Times New Roman" w:cs="Times New Roman"/>
                <w:color w:val="000000" w:themeColor="text1"/>
                <w:szCs w:val="21"/>
                <w14:textFill>
                  <w14:solidFill>
                    <w14:schemeClr w14:val="tx1"/>
                  </w14:solidFill>
                </w14:textFill>
              </w:rPr>
            </w:pPr>
          </w:p>
        </w:tc>
      </w:tr>
    </w:tbl>
    <w:p>
      <w:pPr>
        <w:rPr>
          <w:rFonts w:hint="default" w:ascii="Times New Roman" w:hAnsi="Times New Roman" w:eastAsia="黑体" w:cs="Times New Roman"/>
          <w:b/>
          <w:color w:val="000000" w:themeColor="text1"/>
          <w:sz w:val="36"/>
          <w:szCs w:val="36"/>
          <w14:textFill>
            <w14:solidFill>
              <w14:schemeClr w14:val="tx1"/>
            </w14:solidFill>
          </w14:textFill>
        </w:rPr>
        <w:sectPr>
          <w:pgSz w:w="11850" w:h="16783"/>
          <w:pgMar w:top="1797" w:right="1474" w:bottom="1155" w:left="1474" w:header="851" w:footer="992" w:gutter="0"/>
          <w:pgNumType w:fmt="decimal"/>
          <w:cols w:space="720" w:num="1"/>
          <w:docGrid w:type="lines" w:linePitch="319" w:charSpace="0"/>
        </w:sectPr>
      </w:pPr>
    </w:p>
    <w:p>
      <w:pPr>
        <w:jc w:val="center"/>
        <w:outlineLvl w:val="9"/>
        <w:rPr>
          <w:rFonts w:hint="default" w:ascii="Times New Roman" w:hAnsi="Times New Roman" w:eastAsia="黑体" w:cs="Times New Roman"/>
          <w:b/>
          <w:color w:val="000000" w:themeColor="text1"/>
          <w:sz w:val="36"/>
          <w:szCs w:val="36"/>
          <w14:textFill>
            <w14:solidFill>
              <w14:schemeClr w14:val="tx1"/>
            </w14:solidFill>
          </w14:textFill>
        </w:rPr>
      </w:pPr>
      <w:r>
        <w:rPr>
          <w:rFonts w:hint="default" w:ascii="Times New Roman" w:hAnsi="Times New Roman" w:eastAsia="黑体" w:cs="Times New Roman"/>
          <w:b/>
          <w:color w:val="000000" w:themeColor="text1"/>
          <w:sz w:val="36"/>
          <w:szCs w:val="36"/>
          <w14:textFill>
            <w14:solidFill>
              <w14:schemeClr w14:val="tx1"/>
            </w14:solidFill>
          </w14:textFill>
        </w:rPr>
        <w:t>建设项目工程竣工环境保护“三同时”验收登记表</w:t>
      </w:r>
    </w:p>
    <w:p>
      <w:pPr>
        <w:ind w:firstLine="2310" w:firstLineChars="1100"/>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填表单位（盖章）：</w:t>
      </w:r>
      <w:r>
        <w:rPr>
          <w:rFonts w:hint="default" w:ascii="Times New Roman" w:hAnsi="Times New Roman" w:eastAsia="楷体_GB2312"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 xml:space="preserve">               填表人（签字）：                               项目经办人（签字）：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75"/>
        <w:gridCol w:w="1290"/>
        <w:gridCol w:w="1282"/>
        <w:gridCol w:w="257"/>
        <w:gridCol w:w="1666"/>
        <w:gridCol w:w="257"/>
        <w:gridCol w:w="292"/>
        <w:gridCol w:w="221"/>
        <w:gridCol w:w="641"/>
        <w:gridCol w:w="641"/>
        <w:gridCol w:w="481"/>
        <w:gridCol w:w="600"/>
        <w:gridCol w:w="458"/>
        <w:gridCol w:w="512"/>
        <w:gridCol w:w="898"/>
        <w:gridCol w:w="1659"/>
        <w:gridCol w:w="1546"/>
        <w:gridCol w:w="1282"/>
        <w:gridCol w:w="1282"/>
        <w:gridCol w:w="563"/>
        <w:gridCol w:w="720"/>
        <w:gridCol w:w="927"/>
        <w:gridCol w:w="611"/>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restart"/>
            <w:noWrap w:val="0"/>
            <w:textDirection w:val="tbRlV"/>
            <w:vAlign w:val="center"/>
          </w:tcPr>
          <w:p>
            <w:pPr>
              <w:spacing w:line="320" w:lineRule="exact"/>
              <w:ind w:left="113"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 设 项 目</w:t>
            </w: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项目名称</w:t>
            </w:r>
          </w:p>
        </w:tc>
        <w:tc>
          <w:tcPr>
            <w:tcW w:w="7308" w:type="dxa"/>
            <w:gridSpan w:val="12"/>
            <w:noWrap w:val="0"/>
            <w:vAlign w:val="center"/>
          </w:tcPr>
          <w:p>
            <w:pPr>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梅州市佳顺发实业有限公司楼梯扶手生产项目</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建设地点</w:t>
            </w:r>
          </w:p>
        </w:tc>
        <w:tc>
          <w:tcPr>
            <w:tcW w:w="7890" w:type="dxa"/>
            <w:gridSpan w:val="8"/>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 w:val="0"/>
                <w:bCs/>
                <w:color w:val="000000" w:themeColor="text1"/>
                <w:szCs w:val="21"/>
                <w:lang w:eastAsia="zh-CN"/>
                <w14:textFill>
                  <w14:solidFill>
                    <w14:schemeClr w14:val="tx1"/>
                  </w14:solidFill>
                </w14:textFill>
              </w:rPr>
              <w:t>梅州市梅江区三角镇梅州金三角旋窑水泥厂有限公司8号楼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行业类别</w:t>
            </w:r>
          </w:p>
        </w:tc>
        <w:tc>
          <w:tcPr>
            <w:tcW w:w="7308" w:type="dxa"/>
            <w:gridSpan w:val="1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C3351建筑、家具用金属配件制造</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建设性质</w:t>
            </w:r>
          </w:p>
        </w:tc>
        <w:tc>
          <w:tcPr>
            <w:tcW w:w="7890" w:type="dxa"/>
            <w:gridSpan w:val="8"/>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新 建 √                 改 扩 建               技 术 改 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设计生产能力</w:t>
            </w:r>
          </w:p>
        </w:tc>
        <w:tc>
          <w:tcPr>
            <w:tcW w:w="3754" w:type="dxa"/>
            <w:gridSpan w:val="5"/>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年产楼梯扶手14吨</w:t>
            </w:r>
          </w:p>
        </w:tc>
        <w:tc>
          <w:tcPr>
            <w:tcW w:w="1984"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建设项目开工日期</w:t>
            </w:r>
          </w:p>
        </w:tc>
        <w:tc>
          <w:tcPr>
            <w:tcW w:w="1570" w:type="dxa"/>
            <w:gridSpan w:val="3"/>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201</w:t>
            </w:r>
            <w:r>
              <w:rPr>
                <w:rFonts w:hint="default" w:ascii="Times New Roman" w:hAnsi="Times New Roman" w:cs="Times New Roman"/>
                <w:bCs/>
                <w:color w:val="000000" w:themeColor="text1"/>
                <w:szCs w:val="21"/>
                <w:lang w:val="en-US" w:eastAsia="zh-CN"/>
                <w14:textFill>
                  <w14:solidFill>
                    <w14:schemeClr w14:val="tx1"/>
                  </w14:solidFill>
                </w14:textFill>
              </w:rPr>
              <w:t>9</w:t>
            </w:r>
            <w:r>
              <w:rPr>
                <w:rFonts w:hint="default" w:ascii="Times New Roman" w:hAnsi="Times New Roman" w:cs="Times New Roman"/>
                <w:bCs/>
                <w:color w:val="000000" w:themeColor="text1"/>
                <w:szCs w:val="21"/>
                <w14:textFill>
                  <w14:solidFill>
                    <w14:schemeClr w14:val="tx1"/>
                  </w14:solidFill>
                </w14:textFill>
              </w:rPr>
              <w:t>年</w:t>
            </w:r>
            <w:r>
              <w:rPr>
                <w:rFonts w:hint="default" w:ascii="Times New Roman" w:hAnsi="Times New Roman" w:cs="Times New Roman"/>
                <w:bCs/>
                <w:color w:val="000000" w:themeColor="text1"/>
                <w:szCs w:val="21"/>
                <w:lang w:val="en-US" w:eastAsia="zh-CN"/>
                <w14:textFill>
                  <w14:solidFill>
                    <w14:schemeClr w14:val="tx1"/>
                  </w14:solidFill>
                </w14:textFill>
              </w:rPr>
              <w:t>6</w:t>
            </w:r>
            <w:r>
              <w:rPr>
                <w:rFonts w:hint="default" w:ascii="Times New Roman" w:hAnsi="Times New Roman" w:cs="Times New Roman"/>
                <w:bCs/>
                <w:color w:val="000000" w:themeColor="text1"/>
                <w:szCs w:val="21"/>
                <w14:textFill>
                  <w14:solidFill>
                    <w14:schemeClr w14:val="tx1"/>
                  </w14:solidFill>
                </w14:textFill>
              </w:rPr>
              <w:t>月</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实际生产能力</w:t>
            </w:r>
          </w:p>
        </w:tc>
        <w:tc>
          <w:tcPr>
            <w:tcW w:w="2828"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月产</w:t>
            </w:r>
            <w:r>
              <w:rPr>
                <w:rFonts w:hint="default" w:ascii="Times New Roman" w:hAnsi="Times New Roman" w:cs="Times New Roman"/>
                <w:color w:val="000000" w:themeColor="text1"/>
                <w:sz w:val="24"/>
                <w:szCs w:val="24"/>
                <w:lang w:val="en-US" w:eastAsia="zh-CN"/>
                <w14:textFill>
                  <w14:solidFill>
                    <w14:schemeClr w14:val="tx1"/>
                  </w14:solidFill>
                </w14:textFill>
              </w:rPr>
              <w:t>楼梯扶手1.16吨</w:t>
            </w:r>
          </w:p>
        </w:tc>
        <w:tc>
          <w:tcPr>
            <w:tcW w:w="1845"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投入试运行日期</w:t>
            </w:r>
          </w:p>
        </w:tc>
        <w:tc>
          <w:tcPr>
            <w:tcW w:w="3217" w:type="dxa"/>
            <w:gridSpan w:val="4"/>
            <w:noWrap w:val="0"/>
            <w:vAlign w:val="center"/>
          </w:tcPr>
          <w:p>
            <w:pPr>
              <w:spacing w:line="320" w:lineRule="exact"/>
              <w:ind w:firstLine="210" w:firstLineChars="10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201</w:t>
            </w:r>
            <w:r>
              <w:rPr>
                <w:rFonts w:hint="default" w:ascii="Times New Roman" w:hAnsi="Times New Roman" w:cs="Times New Roman"/>
                <w:bCs/>
                <w:color w:val="000000" w:themeColor="text1"/>
                <w:szCs w:val="21"/>
                <w:lang w:val="en-US" w:eastAsia="zh-CN"/>
                <w14:textFill>
                  <w14:solidFill>
                    <w14:schemeClr w14:val="tx1"/>
                  </w14:solidFill>
                </w14:textFill>
              </w:rPr>
              <w:t>9</w:t>
            </w:r>
            <w:r>
              <w:rPr>
                <w:rFonts w:hint="default" w:ascii="Times New Roman" w:hAnsi="Times New Roman" w:cs="Times New Roman"/>
                <w:bCs/>
                <w:color w:val="000000" w:themeColor="text1"/>
                <w:szCs w:val="21"/>
                <w14:textFill>
                  <w14:solidFill>
                    <w14:schemeClr w14:val="tx1"/>
                  </w14:solidFill>
                </w14:textFill>
              </w:rPr>
              <w:t>年</w:t>
            </w:r>
            <w:r>
              <w:rPr>
                <w:rFonts w:hint="default" w:ascii="Times New Roman" w:hAnsi="Times New Roman" w:cs="Times New Roman"/>
                <w:bCs/>
                <w:color w:val="000000" w:themeColor="text1"/>
                <w:szCs w:val="21"/>
                <w:lang w:val="en-US" w:eastAsia="zh-CN"/>
                <w14:textFill>
                  <w14:solidFill>
                    <w14:schemeClr w14:val="tx1"/>
                  </w14:solidFill>
                </w14:textFill>
              </w:rPr>
              <w:t>6</w:t>
            </w:r>
            <w:r>
              <w:rPr>
                <w:rFonts w:hint="default" w:ascii="Times New Roman" w:hAnsi="Times New Roman" w:cs="Times New Roman"/>
                <w:bCs/>
                <w:color w:val="000000" w:themeColor="text1"/>
                <w:szCs w:val="2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投资总概算（万元）</w:t>
            </w:r>
          </w:p>
        </w:tc>
        <w:tc>
          <w:tcPr>
            <w:tcW w:w="7308" w:type="dxa"/>
            <w:gridSpan w:val="1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0万元</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环保投资总概算（万元）</w:t>
            </w:r>
          </w:p>
        </w:tc>
        <w:tc>
          <w:tcPr>
            <w:tcW w:w="282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8</w:t>
            </w:r>
            <w:r>
              <w:rPr>
                <w:rFonts w:hint="default" w:ascii="Times New Roman" w:hAnsi="Times New Roman" w:cs="Times New Roman"/>
                <w:bCs/>
                <w:color w:val="000000" w:themeColor="text1"/>
                <w:szCs w:val="21"/>
                <w14:textFill>
                  <w14:solidFill>
                    <w14:schemeClr w14:val="tx1"/>
                  </w14:solidFill>
                </w14:textFill>
              </w:rPr>
              <w:t>万元</w:t>
            </w:r>
          </w:p>
        </w:tc>
        <w:tc>
          <w:tcPr>
            <w:tcW w:w="1845"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所占比例（%）</w:t>
            </w:r>
          </w:p>
        </w:tc>
        <w:tc>
          <w:tcPr>
            <w:tcW w:w="3217"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4</w:t>
            </w: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环评审批部门</w:t>
            </w:r>
          </w:p>
        </w:tc>
        <w:tc>
          <w:tcPr>
            <w:tcW w:w="7308" w:type="dxa"/>
            <w:gridSpan w:val="1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梅州市梅江区环境保护局</w:t>
            </w: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批准文号</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梅区环建函[201</w:t>
            </w:r>
            <w:r>
              <w:rPr>
                <w:rFonts w:hint="default" w:ascii="Times New Roman" w:hAnsi="Times New Roman" w:cs="Times New Roman"/>
                <w:b/>
                <w:color w:val="000000" w:themeColor="text1"/>
                <w:szCs w:val="21"/>
                <w:lang w:val="en-US" w:eastAsia="zh-CN"/>
                <w14:textFill>
                  <w14:solidFill>
                    <w14:schemeClr w14:val="tx1"/>
                  </w14:solidFill>
                </w14:textFill>
              </w:rPr>
              <w:t>9</w:t>
            </w:r>
            <w:r>
              <w:rPr>
                <w:rFonts w:hint="default" w:ascii="Times New Roman" w:hAnsi="Times New Roman" w:cs="Times New Roman"/>
                <w:b/>
                <w:color w:val="000000" w:themeColor="text1"/>
                <w:szCs w:val="21"/>
                <w14:textFill>
                  <w14:solidFill>
                    <w14:schemeClr w14:val="tx1"/>
                  </w14:solidFill>
                </w14:textFill>
              </w:rPr>
              <w:t>]0</w:t>
            </w:r>
            <w:r>
              <w:rPr>
                <w:rFonts w:hint="default" w:ascii="Times New Roman" w:hAnsi="Times New Roman" w:cs="Times New Roman"/>
                <w:b/>
                <w:color w:val="000000" w:themeColor="text1"/>
                <w:szCs w:val="21"/>
                <w:lang w:val="en-US" w:eastAsia="zh-CN"/>
                <w14:textFill>
                  <w14:solidFill>
                    <w14:schemeClr w14:val="tx1"/>
                  </w14:solidFill>
                </w14:textFill>
              </w:rPr>
              <w:t>47</w:t>
            </w:r>
            <w:r>
              <w:rPr>
                <w:rFonts w:hint="default" w:ascii="Times New Roman" w:hAnsi="Times New Roman" w:cs="Times New Roman"/>
                <w:b/>
                <w:color w:val="000000" w:themeColor="text1"/>
                <w:szCs w:val="21"/>
                <w14:textFill>
                  <w14:solidFill>
                    <w14:schemeClr w14:val="tx1"/>
                  </w14:solidFill>
                </w14:textFill>
              </w:rPr>
              <w:t>号</w:t>
            </w: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批准时间</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201</w:t>
            </w:r>
            <w:r>
              <w:rPr>
                <w:rFonts w:hint="default" w:ascii="Times New Roman" w:hAnsi="Times New Roman" w:cs="Times New Roman"/>
                <w:b/>
                <w:color w:val="000000" w:themeColor="text1"/>
                <w:szCs w:val="21"/>
                <w:lang w:val="en-US" w:eastAsia="zh-CN"/>
                <w14:textFill>
                  <w14:solidFill>
                    <w14:schemeClr w14:val="tx1"/>
                  </w14:solidFill>
                </w14:textFill>
              </w:rPr>
              <w:t>9</w:t>
            </w:r>
            <w:r>
              <w:rPr>
                <w:rFonts w:hint="default" w:ascii="Times New Roman" w:hAnsi="Times New Roman" w:cs="Times New Roman"/>
                <w:b/>
                <w:color w:val="000000" w:themeColor="text1"/>
                <w:szCs w:val="21"/>
                <w14:textFill>
                  <w14:solidFill>
                    <w14:schemeClr w14:val="tx1"/>
                  </w14:solidFill>
                </w14:textFill>
              </w:rPr>
              <w:t>年</w:t>
            </w:r>
            <w:r>
              <w:rPr>
                <w:rFonts w:hint="default" w:ascii="Times New Roman" w:hAnsi="Times New Roman" w:cs="Times New Roman"/>
                <w:b/>
                <w:color w:val="000000" w:themeColor="text1"/>
                <w:szCs w:val="21"/>
                <w:lang w:val="en-US" w:eastAsia="zh-CN"/>
                <w14:textFill>
                  <w14:solidFill>
                    <w14:schemeClr w14:val="tx1"/>
                  </w14:solidFill>
                </w14:textFill>
              </w:rPr>
              <w:t>5</w:t>
            </w:r>
            <w:r>
              <w:rPr>
                <w:rFonts w:hint="default" w:ascii="Times New Roman" w:hAnsi="Times New Roman" w:cs="Times New Roman"/>
                <w:b/>
                <w:color w:val="000000" w:themeColor="text1"/>
                <w:szCs w:val="2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初步设计审批部门</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批准文号</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批准时间</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环保验收审批部门</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批准文号</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批准时间</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环保设施设计单位</w:t>
            </w:r>
          </w:p>
        </w:tc>
        <w:tc>
          <w:tcPr>
            <w:tcW w:w="3975" w:type="dxa"/>
            <w:gridSpan w:val="6"/>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3333" w:type="dxa"/>
            <w:gridSpan w:val="6"/>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环保设施施工单位</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环保设施监测单位</w:t>
            </w:r>
          </w:p>
        </w:tc>
        <w:tc>
          <w:tcPr>
            <w:tcW w:w="5062" w:type="dxa"/>
            <w:gridSpan w:val="6"/>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广东准星检测有限公司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top"/>
          </w:tcPr>
          <w:p>
            <w:pPr>
              <w:spacing w:line="320" w:lineRule="exac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实际总投资（万元）</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20</w:t>
            </w:r>
            <w:r>
              <w:rPr>
                <w:rFonts w:hint="default" w:ascii="Times New Roman" w:hAnsi="Times New Roman" w:cs="Times New Roman"/>
                <w:bCs/>
                <w:color w:val="000000" w:themeColor="text1"/>
                <w:szCs w:val="21"/>
                <w14:textFill>
                  <w14:solidFill>
                    <w14:schemeClr w14:val="tx1"/>
                  </w14:solidFill>
                </w14:textFill>
              </w:rPr>
              <w:t>万元</w:t>
            </w:r>
          </w:p>
        </w:tc>
        <w:tc>
          <w:tcPr>
            <w:tcW w:w="2557" w:type="dxa"/>
            <w:gridSpan w:val="2"/>
            <w:noWrap w:val="0"/>
            <w:vAlign w:val="center"/>
          </w:tcPr>
          <w:p>
            <w:pPr>
              <w:spacing w:line="320" w:lineRule="exact"/>
              <w:jc w:val="righ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实际环保投资（万元）</w:t>
            </w:r>
          </w:p>
        </w:tc>
        <w:tc>
          <w:tcPr>
            <w:tcW w:w="282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8</w:t>
            </w:r>
            <w:r>
              <w:rPr>
                <w:rFonts w:hint="default" w:ascii="Times New Roman" w:hAnsi="Times New Roman" w:cs="Times New Roman"/>
                <w:bCs/>
                <w:color w:val="000000" w:themeColor="text1"/>
                <w:szCs w:val="21"/>
                <w14:textFill>
                  <w14:solidFill>
                    <w14:schemeClr w14:val="tx1"/>
                  </w14:solidFill>
                </w14:textFill>
              </w:rPr>
              <w:t>万元</w:t>
            </w:r>
          </w:p>
        </w:tc>
        <w:tc>
          <w:tcPr>
            <w:tcW w:w="1845" w:type="dxa"/>
            <w:gridSpan w:val="2"/>
            <w:noWrap w:val="0"/>
            <w:vAlign w:val="center"/>
          </w:tcPr>
          <w:p>
            <w:pPr>
              <w:spacing w:line="320" w:lineRule="exact"/>
              <w:jc w:val="righ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所占比例（%）</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40</w:t>
            </w:r>
            <w:r>
              <w:rPr>
                <w:rFonts w:hint="default" w:ascii="Times New Roman" w:hAnsi="Times New Roman" w:cs="Times New Roman"/>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废水治理（万元）</w:t>
            </w:r>
          </w:p>
        </w:tc>
        <w:tc>
          <w:tcPr>
            <w:tcW w:w="1282" w:type="dxa"/>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1</w:t>
            </w:r>
          </w:p>
        </w:tc>
        <w:tc>
          <w:tcPr>
            <w:tcW w:w="1923"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废气治理（万元）</w:t>
            </w:r>
          </w:p>
        </w:tc>
        <w:tc>
          <w:tcPr>
            <w:tcW w:w="1411" w:type="dxa"/>
            <w:gridSpan w:val="4"/>
            <w:noWrap w:val="0"/>
            <w:vAlign w:val="center"/>
          </w:tcPr>
          <w:p>
            <w:pPr>
              <w:wordWrap w:val="0"/>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5</w:t>
            </w:r>
          </w:p>
        </w:tc>
        <w:tc>
          <w:tcPr>
            <w:tcW w:w="1722" w:type="dxa"/>
            <w:gridSpan w:val="3"/>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噪声治理（万元）</w:t>
            </w:r>
          </w:p>
        </w:tc>
        <w:tc>
          <w:tcPr>
            <w:tcW w:w="970"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w:t>
            </w:r>
          </w:p>
        </w:tc>
        <w:tc>
          <w:tcPr>
            <w:tcW w:w="255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固废治理（万元）</w:t>
            </w:r>
          </w:p>
        </w:tc>
        <w:tc>
          <w:tcPr>
            <w:tcW w:w="1546" w:type="dxa"/>
            <w:noWrap w:val="0"/>
            <w:vAlign w:val="center"/>
          </w:tcPr>
          <w:p>
            <w:pPr>
              <w:wordWrap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w:t>
            </w:r>
          </w:p>
        </w:tc>
        <w:tc>
          <w:tcPr>
            <w:tcW w:w="1282"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绿化及生态（万元）</w:t>
            </w:r>
          </w:p>
        </w:tc>
        <w:tc>
          <w:tcPr>
            <w:tcW w:w="1845" w:type="dxa"/>
            <w:gridSpan w:val="2"/>
            <w:noWrap w:val="0"/>
            <w:vAlign w:val="center"/>
          </w:tcPr>
          <w:p>
            <w:pPr>
              <w:wordWrap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0</w:t>
            </w:r>
          </w:p>
        </w:tc>
        <w:tc>
          <w:tcPr>
            <w:tcW w:w="1647"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其它（万元）</w:t>
            </w:r>
          </w:p>
        </w:tc>
        <w:tc>
          <w:tcPr>
            <w:tcW w:w="1570" w:type="dxa"/>
            <w:gridSpan w:val="2"/>
            <w:noWrap w:val="0"/>
            <w:vAlign w:val="center"/>
          </w:tcPr>
          <w:p>
            <w:pPr>
              <w:wordWrap w:val="0"/>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新增废水处理设施能力</w:t>
            </w:r>
          </w:p>
        </w:tc>
        <w:tc>
          <w:tcPr>
            <w:tcW w:w="7308" w:type="dxa"/>
            <w:gridSpan w:val="1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新增废气处理设施能力</w:t>
            </w:r>
          </w:p>
        </w:tc>
        <w:tc>
          <w:tcPr>
            <w:tcW w:w="282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 xml:space="preserve">    5000  Nm</w:t>
            </w:r>
            <w:r>
              <w:rPr>
                <w:rFonts w:hint="default" w:ascii="Times New Roman" w:hAnsi="Times New Roman" w:cs="Times New Roman"/>
                <w:bCs/>
                <w:color w:val="000000" w:themeColor="text1"/>
                <w:szCs w:val="21"/>
                <w:vertAlign w:val="super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/h</w:t>
            </w: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年平均工作时</w:t>
            </w:r>
          </w:p>
        </w:tc>
        <w:tc>
          <w:tcPr>
            <w:tcW w:w="3217"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w:t>
            </w:r>
            <w:r>
              <w:rPr>
                <w:rFonts w:hint="default" w:ascii="Times New Roman" w:hAnsi="Times New Roman" w:cs="Times New Roman"/>
                <w:bCs/>
                <w:color w:val="000000" w:themeColor="text1"/>
                <w:szCs w:val="21"/>
                <w:lang w:val="en-US" w:eastAsia="zh-CN"/>
                <w14:textFill>
                  <w14:solidFill>
                    <w14:schemeClr w14:val="tx1"/>
                  </w14:solidFill>
                </w14:textFill>
              </w:rPr>
              <w:t>400</w:t>
            </w:r>
            <w:r>
              <w:rPr>
                <w:rFonts w:hint="default" w:ascii="Times New Roman" w:hAnsi="Times New Roman" w:cs="Times New Roman"/>
                <w:bCs/>
                <w:color w:val="000000" w:themeColor="text1"/>
                <w:szCs w:val="21"/>
                <w14:textFill>
                  <w14:solidFill>
                    <w14:schemeClr w14:val="tx1"/>
                  </w14:solidFill>
                </w14:textFill>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3323" w:type="dxa"/>
            <w:gridSpan w:val="3"/>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建设单位</w:t>
            </w:r>
          </w:p>
        </w:tc>
        <w:tc>
          <w:tcPr>
            <w:tcW w:w="3462" w:type="dxa"/>
            <w:gridSpan w:val="4"/>
            <w:noWrap w:val="0"/>
            <w:vAlign w:val="center"/>
          </w:tcPr>
          <w:p>
            <w:pPr>
              <w:spacing w:line="320" w:lineRule="exact"/>
              <w:jc w:val="center"/>
              <w:rPr>
                <w:rFonts w:hint="default" w:ascii="Times New Roman" w:hAnsi="Times New Roman" w:eastAsia="楷体_GB2312" w:cs="Times New Roman"/>
                <w:color w:val="000000" w:themeColor="text1"/>
                <w:szCs w:val="21"/>
                <w:lang w:eastAsia="zh-CN"/>
                <w14:textFill>
                  <w14:solidFill>
                    <w14:schemeClr w14:val="tx1"/>
                  </w14:solidFill>
                </w14:textFill>
              </w:rPr>
            </w:pPr>
            <w:r>
              <w:rPr>
                <w:rFonts w:hint="default" w:ascii="Times New Roman" w:hAnsi="Times New Roman" w:eastAsia="楷体_GB2312" w:cs="Times New Roman"/>
                <w:bCs/>
                <w:color w:val="000000" w:themeColor="text1"/>
                <w:szCs w:val="21"/>
                <w:lang w:eastAsia="zh-CN"/>
                <w14:textFill>
                  <w14:solidFill>
                    <w14:schemeClr w14:val="tx1"/>
                  </w14:solidFill>
                </w14:textFill>
              </w:rPr>
              <w:t>梅州市佳顺发实业有限公司</w:t>
            </w:r>
          </w:p>
        </w:tc>
        <w:tc>
          <w:tcPr>
            <w:tcW w:w="1154" w:type="dxa"/>
            <w:gridSpan w:val="3"/>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邮政编码</w:t>
            </w:r>
          </w:p>
        </w:tc>
        <w:tc>
          <w:tcPr>
            <w:tcW w:w="2692" w:type="dxa"/>
            <w:gridSpan w:val="5"/>
            <w:noWrap w:val="0"/>
            <w:vAlign w:val="center"/>
          </w:tcPr>
          <w:p>
            <w:pPr>
              <w:spacing w:line="320" w:lineRule="exact"/>
              <w:jc w:val="center"/>
              <w:rPr>
                <w:rFonts w:hint="default" w:ascii="Times New Roman" w:hAnsi="Times New Roman" w:eastAsia="楷体_GB2312" w:cs="Times New Roman"/>
                <w:b/>
                <w:color w:val="000000" w:themeColor="text1"/>
                <w:szCs w:val="21"/>
                <w14:textFill>
                  <w14:solidFill>
                    <w14:schemeClr w14:val="tx1"/>
                  </w14:solidFill>
                </w14:textFill>
              </w:rPr>
            </w:pPr>
            <w:r>
              <w:rPr>
                <w:rFonts w:hint="default" w:ascii="Times New Roman" w:hAnsi="Times New Roman" w:eastAsia="楷体_GB2312" w:cs="Times New Roman"/>
                <w:bCs/>
                <w:color w:val="000000" w:themeColor="text1"/>
                <w:szCs w:val="21"/>
                <w14:textFill>
                  <w14:solidFill>
                    <w14:schemeClr w14:val="tx1"/>
                  </w14:solidFill>
                </w14:textFill>
              </w:rPr>
              <w:t>514000</w:t>
            </w:r>
          </w:p>
        </w:tc>
        <w:tc>
          <w:tcPr>
            <w:tcW w:w="2557"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联系电话</w:t>
            </w:r>
          </w:p>
        </w:tc>
        <w:tc>
          <w:tcPr>
            <w:tcW w:w="2828" w:type="dxa"/>
            <w:gridSpan w:val="2"/>
            <w:noWrap w:val="0"/>
            <w:vAlign w:val="center"/>
          </w:tcPr>
          <w:p>
            <w:pPr>
              <w:spacing w:line="320" w:lineRule="exact"/>
              <w:jc w:val="center"/>
              <w:rPr>
                <w:rFonts w:hint="default" w:ascii="Times New Roman" w:hAnsi="Times New Roman" w:eastAsia="楷体_GB2312"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13825911499  </w:t>
            </w:r>
          </w:p>
        </w:tc>
        <w:tc>
          <w:tcPr>
            <w:tcW w:w="184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环评单位</w:t>
            </w:r>
          </w:p>
        </w:tc>
        <w:tc>
          <w:tcPr>
            <w:tcW w:w="3217" w:type="dxa"/>
            <w:gridSpan w:val="4"/>
            <w:noWrap w:val="0"/>
            <w:vAlign w:val="center"/>
          </w:tcPr>
          <w:p>
            <w:pPr>
              <w:spacing w:line="320" w:lineRule="exact"/>
              <w:jc w:val="center"/>
              <w:rPr>
                <w:rFonts w:hint="default"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江苏新清源环保有限公司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5" w:hRule="atLeast"/>
          <w:jc w:val="center"/>
        </w:trPr>
        <w:tc>
          <w:tcPr>
            <w:tcW w:w="758" w:type="dxa"/>
            <w:vMerge w:val="restart"/>
            <w:noWrap w:val="0"/>
            <w:textDirection w:val="tbRlV"/>
            <w:vAlign w:val="center"/>
          </w:tcPr>
          <w:p>
            <w:pPr>
              <w:spacing w:line="320" w:lineRule="exact"/>
              <w:ind w:left="113" w:right="113"/>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pacing w:val="20"/>
                <w:szCs w:val="21"/>
                <w14:textFill>
                  <w14:solidFill>
                    <w14:schemeClr w14:val="tx1"/>
                  </w14:solidFill>
                </w14:textFill>
              </w:rPr>
              <w:t>污染物排放达标与总量控制（工业建设项目详填）</w:t>
            </w: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w:t>
            </w:r>
          </w:p>
        </w:tc>
        <w:tc>
          <w:tcPr>
            <w:tcW w:w="1539"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原有排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(1) </w:t>
            </w:r>
          </w:p>
        </w:tc>
        <w:tc>
          <w:tcPr>
            <w:tcW w:w="2436" w:type="dxa"/>
            <w:gridSpan w:val="4"/>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本期工程实际排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放浓度</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(2)</w:t>
            </w:r>
          </w:p>
        </w:tc>
        <w:tc>
          <w:tcPr>
            <w:tcW w:w="1282"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本期工程允许排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放浓度</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(3)</w:t>
            </w:r>
          </w:p>
        </w:tc>
        <w:tc>
          <w:tcPr>
            <w:tcW w:w="1539" w:type="dxa"/>
            <w:gridSpan w:val="3"/>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本期工程产生量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(4)</w:t>
            </w:r>
          </w:p>
        </w:tc>
        <w:tc>
          <w:tcPr>
            <w:tcW w:w="1410"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本期工程自身削减量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(5)</w:t>
            </w:r>
          </w:p>
        </w:tc>
        <w:tc>
          <w:tcPr>
            <w:tcW w:w="1659"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本期工程实际排放量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(6)</w:t>
            </w:r>
          </w:p>
        </w:tc>
        <w:tc>
          <w:tcPr>
            <w:tcW w:w="1546"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本期工程核定排</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放总量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(7)</w:t>
            </w:r>
          </w:p>
        </w:tc>
        <w:tc>
          <w:tcPr>
            <w:tcW w:w="1282"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本期工程“以新带老”削减量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(8)</w:t>
            </w:r>
          </w:p>
        </w:tc>
        <w:tc>
          <w:tcPr>
            <w:tcW w:w="1282" w:type="dxa"/>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全厂实际排放总量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(9)</w:t>
            </w:r>
          </w:p>
        </w:tc>
        <w:tc>
          <w:tcPr>
            <w:tcW w:w="1283"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全厂核定排放总量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(10)</w:t>
            </w:r>
          </w:p>
        </w:tc>
        <w:tc>
          <w:tcPr>
            <w:tcW w:w="1538" w:type="dxa"/>
            <w:gridSpan w:val="2"/>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区域平衡替代削减量</w:t>
            </w:r>
          </w:p>
          <w:p>
            <w:pPr>
              <w:spacing w:line="320" w:lineRule="exact"/>
              <w:ind w:firstLine="105" w:firstLine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(11)</w:t>
            </w:r>
          </w:p>
        </w:tc>
        <w:tc>
          <w:tcPr>
            <w:tcW w:w="959" w:type="dxa"/>
            <w:noWrap w:val="0"/>
            <w:vAlign w:val="center"/>
          </w:tcPr>
          <w:p>
            <w:pPr>
              <w:spacing w:line="320" w:lineRule="exact"/>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排放增减量</w:t>
            </w:r>
          </w:p>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zCs w:val="21"/>
                <w14:textFill>
                  <w14:solidFill>
                    <w14:schemeClr w14:val="tx1"/>
                  </w14:solidFill>
                </w14:textFill>
              </w:rPr>
              <w:t>废水</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化学需氧量 </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氨      氮</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石油类</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zCs w:val="21"/>
                <w14:textFill>
                  <w14:solidFill>
                    <w14:schemeClr w14:val="tx1"/>
                  </w14:solidFill>
                </w14:textFill>
              </w:rPr>
              <w:t>废气</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1200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1200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1200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1200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1200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二氧化硫</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烟    尘</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工业粉尘</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氮氧化物</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2565" w:type="dxa"/>
            <w:gridSpan w:val="2"/>
            <w:noWrap w:val="0"/>
            <w:vAlign w:val="center"/>
          </w:tcPr>
          <w:p>
            <w:pPr>
              <w:spacing w:line="320" w:lineRule="exact"/>
              <w:jc w:val="distribute"/>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eastAsia="黑体" w:cs="Times New Roman"/>
                <w:b/>
                <w:color w:val="000000" w:themeColor="text1"/>
                <w:szCs w:val="21"/>
                <w14:textFill>
                  <w14:solidFill>
                    <w14:schemeClr w14:val="tx1"/>
                  </w14:solidFill>
                </w14:textFill>
              </w:rPr>
              <w:t>工业固体废物</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0.000</w:t>
            </w:r>
            <w:r>
              <w:rPr>
                <w:rFonts w:hint="default" w:ascii="Times New Roman" w:hAnsi="Times New Roman" w:cs="Times New Roman"/>
                <w:bCs/>
                <w:color w:val="000000" w:themeColor="text1"/>
                <w:szCs w:val="21"/>
                <w:lang w:val="en-US" w:eastAsia="zh-CN"/>
                <w14:textFill>
                  <w14:solidFill>
                    <w14:schemeClr w14:val="tx1"/>
                  </w14:solidFill>
                </w14:textFill>
              </w:rPr>
              <w:t>2</w:t>
            </w:r>
          </w:p>
        </w:tc>
        <w:tc>
          <w:tcPr>
            <w:tcW w:w="1410"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restart"/>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与项目有关的其它特征污染物</w:t>
            </w:r>
          </w:p>
        </w:tc>
        <w:tc>
          <w:tcPr>
            <w:tcW w:w="1290" w:type="dxa"/>
            <w:noWrap w:val="0"/>
            <w:vAlign w:val="center"/>
          </w:tcPr>
          <w:p>
            <w:pPr>
              <w:spacing w:line="320" w:lineRule="exact"/>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VOCs</w:t>
            </w: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w:t>
            </w:r>
          </w:p>
        </w:tc>
        <w:tc>
          <w:tcPr>
            <w:tcW w:w="2436" w:type="dxa"/>
            <w:gridSpan w:val="4"/>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0.90</w:t>
            </w:r>
          </w:p>
        </w:tc>
        <w:tc>
          <w:tcPr>
            <w:tcW w:w="1282"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30</w:t>
            </w:r>
          </w:p>
        </w:tc>
        <w:tc>
          <w:tcPr>
            <w:tcW w:w="1539" w:type="dxa"/>
            <w:gridSpan w:val="3"/>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0.004</w:t>
            </w:r>
            <w:r>
              <w:rPr>
                <w:rFonts w:hint="eastAsia" w:ascii="Times New Roman" w:hAnsi="Times New Roman" w:cs="Times New Roman"/>
                <w:bCs/>
                <w:color w:val="000000" w:themeColor="text1"/>
                <w:szCs w:val="21"/>
                <w:lang w:val="en-US" w:eastAsia="zh-CN"/>
                <w14:textFill>
                  <w14:solidFill>
                    <w14:schemeClr w14:val="tx1"/>
                  </w14:solidFill>
                </w14:textFill>
              </w:rPr>
              <w:t>4</w:t>
            </w:r>
          </w:p>
        </w:tc>
        <w:tc>
          <w:tcPr>
            <w:tcW w:w="1410"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0.004</w:t>
            </w:r>
            <w:r>
              <w:rPr>
                <w:rFonts w:hint="eastAsia" w:ascii="Times New Roman" w:hAnsi="Times New Roman" w:cs="Times New Roman"/>
                <w:bCs/>
                <w:color w:val="000000" w:themeColor="text1"/>
                <w:szCs w:val="21"/>
                <w:lang w:val="en-US" w:eastAsia="zh-CN"/>
                <w14:textFill>
                  <w14:solidFill>
                    <w14:schemeClr w14:val="tx1"/>
                  </w14:solidFill>
                </w14:textFill>
              </w:rPr>
              <w:t>4</w:t>
            </w: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0.004</w:t>
            </w:r>
            <w:r>
              <w:rPr>
                <w:rFonts w:hint="eastAsia" w:ascii="Times New Roman" w:hAnsi="Times New Roman" w:cs="Times New Roman"/>
                <w:bCs/>
                <w:color w:val="000000" w:themeColor="text1"/>
                <w:szCs w:val="21"/>
                <w:lang w:val="en-US" w:eastAsia="zh-CN"/>
                <w14:textFill>
                  <w14:solidFill>
                    <w14:schemeClr w14:val="tx1"/>
                  </w14:solidFill>
                </w14:textFill>
              </w:rPr>
              <w:t>4</w:t>
            </w:r>
          </w:p>
        </w:tc>
        <w:tc>
          <w:tcPr>
            <w:tcW w:w="1282" w:type="dxa"/>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0.004</w:t>
            </w:r>
            <w:r>
              <w:rPr>
                <w:rFonts w:hint="eastAsia" w:ascii="Times New Roman" w:hAnsi="Times New Roman" w:cs="Times New Roman"/>
                <w:bCs/>
                <w:color w:val="000000" w:themeColor="text1"/>
                <w:szCs w:val="21"/>
                <w:lang w:val="en-US" w:eastAsia="zh-CN"/>
                <w14:textFill>
                  <w14:solidFill>
                    <w14:schemeClr w14:val="tx1"/>
                  </w14:solidFill>
                </w14:textFill>
              </w:rPr>
              <w:t>4</w:t>
            </w: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0.004</w:t>
            </w:r>
            <w:r>
              <w:rPr>
                <w:rFonts w:hint="eastAsia" w:ascii="Times New Roman" w:hAnsi="Times New Roman" w:cs="Times New Roman"/>
                <w:bCs/>
                <w:color w:val="000000" w:themeColor="text1"/>
                <w:szCs w:val="21"/>
                <w:lang w:val="en-US" w:eastAsia="zh-CN"/>
                <w14:textFill>
                  <w14:solidFill>
                    <w14:schemeClr w14:val="tx1"/>
                  </w14:solidFill>
                </w14:textFill>
              </w:rPr>
              <w:t>4</w:t>
            </w:r>
          </w:p>
        </w:tc>
        <w:tc>
          <w:tcPr>
            <w:tcW w:w="1538" w:type="dxa"/>
            <w:gridSpan w:val="2"/>
            <w:noWrap w:val="0"/>
            <w:vAlign w:val="center"/>
          </w:tcPr>
          <w:p>
            <w:pPr>
              <w:spacing w:line="32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w:t>
            </w: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0.004</w:t>
            </w:r>
            <w:r>
              <w:rPr>
                <w:rFonts w:hint="eastAsia" w:ascii="Times New Roman" w:hAnsi="Times New Roman" w:cs="Times New Roman"/>
                <w:bCs/>
                <w:color w:val="000000" w:themeColor="text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continue"/>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p>
        </w:tc>
        <w:tc>
          <w:tcPr>
            <w:tcW w:w="1290" w:type="dxa"/>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continue"/>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p>
        </w:tc>
        <w:tc>
          <w:tcPr>
            <w:tcW w:w="1290" w:type="dxa"/>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758" w:type="dxa"/>
            <w:vMerge w:val="continue"/>
            <w:noWrap w:val="0"/>
            <w:vAlign w:val="center"/>
          </w:tcPr>
          <w:p>
            <w:pPr>
              <w:spacing w:line="32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275" w:type="dxa"/>
            <w:vMerge w:val="continue"/>
            <w:noWrap w:val="0"/>
            <w:textDirection w:val="tbRlV"/>
            <w:vAlign w:val="center"/>
          </w:tcPr>
          <w:p>
            <w:pPr>
              <w:spacing w:line="320" w:lineRule="exact"/>
              <w:ind w:left="113" w:right="113"/>
              <w:jc w:val="distribute"/>
              <w:rPr>
                <w:rFonts w:hint="default" w:ascii="Times New Roman" w:hAnsi="Times New Roman" w:cs="Times New Roman"/>
                <w:b/>
                <w:color w:val="000000" w:themeColor="text1"/>
                <w:szCs w:val="21"/>
                <w14:textFill>
                  <w14:solidFill>
                    <w14:schemeClr w14:val="tx1"/>
                  </w14:solidFill>
                </w14:textFill>
              </w:rPr>
            </w:pPr>
          </w:p>
        </w:tc>
        <w:tc>
          <w:tcPr>
            <w:tcW w:w="1290" w:type="dxa"/>
            <w:noWrap w:val="0"/>
            <w:vAlign w:val="center"/>
          </w:tcPr>
          <w:p>
            <w:pPr>
              <w:spacing w:line="320" w:lineRule="exact"/>
              <w:jc w:val="distribute"/>
              <w:rPr>
                <w:rFonts w:hint="default" w:ascii="Times New Roman" w:hAnsi="Times New Roman" w:cs="Times New Roman"/>
                <w:b/>
                <w:color w:val="000000" w:themeColor="text1"/>
                <w:szCs w:val="21"/>
                <w14:textFill>
                  <w14:solidFill>
                    <w14:schemeClr w14:val="tx1"/>
                  </w14:solidFill>
                </w14:textFill>
              </w:rPr>
            </w:pPr>
          </w:p>
        </w:tc>
        <w:tc>
          <w:tcPr>
            <w:tcW w:w="1539"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2436" w:type="dxa"/>
            <w:gridSpan w:val="4"/>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9" w:type="dxa"/>
            <w:gridSpan w:val="3"/>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410"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6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46"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2"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283"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1538" w:type="dxa"/>
            <w:gridSpan w:val="2"/>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c>
          <w:tcPr>
            <w:tcW w:w="959" w:type="dxa"/>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p>
        </w:tc>
      </w:tr>
    </w:tbl>
    <w:p>
      <w:pPr>
        <w:ind w:firstLine="2176" w:firstLineChars="1204"/>
        <w:outlineLvl w:val="9"/>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注</w:t>
      </w:r>
      <w:r>
        <w:rPr>
          <w:rFonts w:hint="default" w:ascii="Times New Roman" w:hAnsi="Times New Roman" w:cs="Times New Roman"/>
          <w:color w:val="000000" w:themeColor="text1"/>
          <w:sz w:val="18"/>
          <w:szCs w:val="18"/>
          <w14:textFill>
            <w14:solidFill>
              <w14:schemeClr w14:val="tx1"/>
            </w14:solidFill>
          </w14:textFill>
        </w:rPr>
        <w:t>：1、排放增减量：（+）表示增加，（-）表示减少</w:t>
      </w:r>
    </w:p>
    <w:p>
      <w:pPr>
        <w:ind w:firstLine="1800" w:firstLineChars="100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        2、(12)=(6)-(8)-(11)，（9）= (4)-(5)-(8)- (11) +（1）</w:t>
      </w:r>
    </w:p>
    <w:p>
      <w:pPr>
        <w:ind w:firstLine="2520" w:firstLineChars="140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3、计量单位：废水排放量——万吨/年；废气排放量——万标立方米/年；工业固体废物排放量——万吨/年； 水污染物排放浓度——毫克/升；</w:t>
      </w:r>
    </w:p>
    <w:p>
      <w:pPr>
        <w:ind w:firstLine="2790" w:firstLineChars="1550"/>
        <w:rPr>
          <w:rFonts w:hint="default" w:ascii="Times New Roman" w:hAnsi="Times New Roman" w:cs="Times New Roman"/>
          <w:color w:val="000000" w:themeColor="text1"/>
          <w:sz w:val="18"/>
          <w:szCs w:val="18"/>
          <w14:textFill>
            <w14:solidFill>
              <w14:schemeClr w14:val="tx1"/>
            </w14:solidFill>
          </w14:textFill>
        </w:rPr>
        <w:sectPr>
          <w:pgSz w:w="23814" w:h="16839" w:orient="landscape"/>
          <w:pgMar w:top="1474" w:right="1797" w:bottom="1474" w:left="1155" w:header="851" w:footer="992" w:gutter="0"/>
          <w:pgNumType w:fmt="decimal"/>
          <w:cols w:space="720" w:num="1"/>
          <w:docGrid w:type="lines" w:linePitch="319" w:charSpace="0"/>
        </w:sectPr>
      </w:pPr>
      <w:r>
        <w:rPr>
          <w:rFonts w:hint="default" w:ascii="Times New Roman" w:hAnsi="Times New Roman" w:cs="Times New Roman"/>
          <w:color w:val="000000" w:themeColor="text1"/>
          <w:sz w:val="18"/>
          <w:szCs w:val="18"/>
          <w14:textFill>
            <w14:solidFill>
              <w14:schemeClr w14:val="tx1"/>
            </w14:solidFill>
          </w14:textFill>
        </w:rPr>
        <w:t>大气污染物排放浓度——毫克/立方米；水污染物排放量——吨/年；大气污染物排放量——吨/年</w:t>
      </w:r>
    </w:p>
    <w:p>
      <w:pPr>
        <w:widowControl/>
        <w:jc w:val="left"/>
        <w:outlineLvl w:val="0"/>
        <w:rPr>
          <w:rFonts w:hint="default" w:ascii="Times New Roman" w:hAnsi="Times New Roman" w:cs="Times New Roman"/>
          <w:color w:val="000000" w:themeColor="text1"/>
          <w14:textFill>
            <w14:solidFill>
              <w14:schemeClr w14:val="tx1"/>
            </w14:solidFill>
          </w14:textFill>
        </w:rPr>
      </w:pPr>
      <w:bookmarkStart w:id="28" w:name="_Toc8009"/>
      <w:r>
        <w:rPr>
          <w:rFonts w:hint="default" w:ascii="Times New Roman" w:hAnsi="Times New Roman" w:cs="Times New Roman"/>
          <w:color w:val="000000" w:themeColor="text1"/>
          <w:sz w:val="24"/>
          <w:szCs w:val="28"/>
          <w14:textFill>
            <w14:solidFill>
              <w14:schemeClr w14:val="tx1"/>
            </w14:solidFill>
          </w14:textFill>
        </w:rPr>
        <w:t>附件1</w:t>
      </w:r>
      <w:r>
        <w:rPr>
          <w:rFonts w:hint="default" w:ascii="Times New Roman" w:hAnsi="Times New Roman" w:cs="Times New Roman"/>
          <w:color w:val="000000" w:themeColor="text1"/>
          <w:sz w:val="24"/>
          <w:szCs w:val="28"/>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8"/>
          <w:lang w:eastAsia="zh-CN"/>
          <w14:textFill>
            <w14:solidFill>
              <w14:schemeClr w14:val="tx1"/>
            </w14:solidFill>
          </w14:textFill>
        </w:rPr>
        <w:t>梅州市佳顺发实业有限公司</w:t>
      </w:r>
      <w:r>
        <w:rPr>
          <w:rFonts w:hint="default" w:ascii="Times New Roman" w:hAnsi="Times New Roman" w:cs="Times New Roman"/>
          <w:color w:val="000000" w:themeColor="text1"/>
          <w:sz w:val="24"/>
          <w:szCs w:val="28"/>
          <w14:textFill>
            <w14:solidFill>
              <w14:schemeClr w14:val="tx1"/>
            </w14:solidFill>
          </w14:textFill>
        </w:rPr>
        <w:t>营业执照</w:t>
      </w:r>
      <w:bookmarkEnd w:id="28"/>
    </w:p>
    <w:p>
      <w:pPr>
        <w:spacing w:line="276" w:lineRule="auto"/>
        <w:jc w:val="left"/>
        <w:rPr>
          <w:rFonts w:hint="default" w:ascii="Times New Roman" w:hAnsi="Times New Roman" w:cs="Times New Roman"/>
          <w:color w:val="000000" w:themeColor="text1"/>
          <w:kern w:val="0"/>
          <w:sz w:val="24"/>
          <w:szCs w:val="24"/>
          <w:lang w:bidi="ar"/>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8"/>
          <w:szCs w:val="24"/>
          <w14:textFill>
            <w14:solidFill>
              <w14:schemeClr w14:val="tx1"/>
            </w14:solidFill>
          </w14:textFill>
        </w:rPr>
        <w:drawing>
          <wp:inline distT="0" distB="0" distL="0" distR="0">
            <wp:extent cx="5181600" cy="7620000"/>
            <wp:effectExtent l="0" t="0" r="0" b="0"/>
            <wp:docPr id="29" name="图片 28" descr="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营业执照.jpg"/>
                    <pic:cNvPicPr>
                      <a:picLocks noChangeAspect="1"/>
                    </pic:cNvPicPr>
                  </pic:nvPicPr>
                  <pic:blipFill>
                    <a:blip r:embed="rId14" cstate="print"/>
                    <a:stretch>
                      <a:fillRect/>
                    </a:stretch>
                  </pic:blipFill>
                  <pic:spPr>
                    <a:xfrm>
                      <a:off x="0" y="0"/>
                      <a:ext cx="5181600" cy="7620000"/>
                    </a:xfrm>
                    <a:prstGeom prst="rect">
                      <a:avLst/>
                    </a:prstGeom>
                  </pic:spPr>
                </pic:pic>
              </a:graphicData>
            </a:graphic>
          </wp:inline>
        </w:drawing>
      </w:r>
    </w:p>
    <w:p>
      <w:pPr>
        <w:spacing w:line="276" w:lineRule="auto"/>
        <w:jc w:val="left"/>
        <w:outlineLvl w:val="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br w:type="page"/>
      </w:r>
      <w:bookmarkStart w:id="29" w:name="_Toc13815"/>
      <w:r>
        <w:rPr>
          <w:rFonts w:hint="default" w:ascii="Times New Roman" w:hAnsi="Times New Roman" w:cs="Times New Roman"/>
          <w:color w:val="000000" w:themeColor="text1"/>
          <w:sz w:val="24"/>
          <w:szCs w:val="28"/>
          <w14:textFill>
            <w14:solidFill>
              <w14:schemeClr w14:val="tx1"/>
            </w14:solidFill>
          </w14:textFill>
        </w:rPr>
        <w:t>附件2 梅州市梅江区环保局环评批复</w:t>
      </w:r>
      <w:bookmarkEnd w:id="29"/>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69230" cy="7341870"/>
            <wp:effectExtent l="0" t="0" r="7620" b="11430"/>
            <wp:docPr id="46" name="图片 46" descr="157413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574132162"/>
                    <pic:cNvPicPr>
                      <a:picLocks noChangeAspect="1"/>
                    </pic:cNvPicPr>
                  </pic:nvPicPr>
                  <pic:blipFill>
                    <a:blip r:embed="rId15"/>
                    <a:stretch>
                      <a:fillRect/>
                    </a:stretch>
                  </pic:blipFill>
                  <pic:spPr>
                    <a:xfrm>
                      <a:off x="0" y="0"/>
                      <a:ext cx="5269230" cy="7341870"/>
                    </a:xfrm>
                    <a:prstGeom prst="rect">
                      <a:avLst/>
                    </a:prstGeom>
                  </pic:spPr>
                </pic:pic>
              </a:graphicData>
            </a:graphic>
          </wp:inline>
        </w:drawing>
      </w: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2405" cy="7489825"/>
            <wp:effectExtent l="0" t="0" r="4445" b="15875"/>
            <wp:docPr id="47" name="图片 47" descr="1574132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74132194(1)"/>
                    <pic:cNvPicPr>
                      <a:picLocks noChangeAspect="1"/>
                    </pic:cNvPicPr>
                  </pic:nvPicPr>
                  <pic:blipFill>
                    <a:blip r:embed="rId16"/>
                    <a:stretch>
                      <a:fillRect/>
                    </a:stretch>
                  </pic:blipFill>
                  <pic:spPr>
                    <a:xfrm>
                      <a:off x="0" y="0"/>
                      <a:ext cx="5272405" cy="7489825"/>
                    </a:xfrm>
                    <a:prstGeom prst="rect">
                      <a:avLst/>
                    </a:prstGeom>
                  </pic:spPr>
                </pic:pic>
              </a:graphicData>
            </a:graphic>
          </wp:inline>
        </w:drawing>
      </w:r>
    </w:p>
    <w:p>
      <w:pPr>
        <w:widowControl/>
        <w:jc w:val="left"/>
        <w:rPr>
          <w:rFonts w:hint="default" w:ascii="Times New Roman" w:hAnsi="Times New Roman" w:cs="Times New Roman"/>
          <w:color w:val="000000" w:themeColor="text1"/>
          <w14:textFill>
            <w14:solidFill>
              <w14:schemeClr w14:val="tx1"/>
            </w14:solidFill>
          </w14:textFill>
        </w:rPr>
      </w:pPr>
    </w:p>
    <w:p>
      <w:pPr>
        <w:widowControl/>
        <w:jc w:val="left"/>
        <w:rPr>
          <w:rFonts w:hint="default" w:ascii="Times New Roman" w:hAnsi="Times New Roman" w:cs="Times New Roman"/>
          <w:color w:val="000000" w:themeColor="text1"/>
          <w14:textFill>
            <w14:solidFill>
              <w14:schemeClr w14:val="tx1"/>
            </w14:solidFill>
          </w14:textFill>
        </w:rPr>
      </w:pPr>
    </w:p>
    <w:p>
      <w:pPr>
        <w:spacing w:line="276" w:lineRule="auto"/>
        <w:jc w:val="left"/>
        <w:outlineLvl w:val="0"/>
        <w:rPr>
          <w:rFonts w:hint="default" w:ascii="Times New Roman" w:hAnsi="Times New Roman" w:cs="Times New Roman"/>
          <w:color w:val="000000" w:themeColor="text1"/>
          <w:sz w:val="24"/>
          <w:szCs w:val="28"/>
          <w:lang w:val="en-US" w:eastAsia="zh-CN"/>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br w:type="page"/>
      </w:r>
      <w:bookmarkStart w:id="30" w:name="_Toc23800"/>
      <w:r>
        <w:rPr>
          <w:rFonts w:hint="default" w:ascii="Times New Roman" w:hAnsi="Times New Roman" w:cs="Times New Roman"/>
          <w:color w:val="000000" w:themeColor="text1"/>
          <w:sz w:val="24"/>
          <w:szCs w:val="28"/>
          <w14:textFill>
            <w14:solidFill>
              <w14:schemeClr w14:val="tx1"/>
            </w14:solidFill>
          </w14:textFill>
        </w:rPr>
        <w:t xml:space="preserve">附件3 </w:t>
      </w:r>
      <w:r>
        <w:rPr>
          <w:rFonts w:hint="default" w:ascii="Times New Roman" w:hAnsi="Times New Roman" w:cs="Times New Roman"/>
          <w:color w:val="000000" w:themeColor="text1"/>
          <w:sz w:val="24"/>
          <w:szCs w:val="28"/>
          <w:lang w:val="en-US" w:eastAsia="zh-CN"/>
          <w14:textFill>
            <w14:solidFill>
              <w14:schemeClr w14:val="tx1"/>
            </w14:solidFill>
          </w14:textFill>
        </w:rPr>
        <w:t>广东准星检测有限公司现场验收检测报告1</w:t>
      </w:r>
      <w:bookmarkEnd w:id="30"/>
    </w:p>
    <w:p>
      <w:pPr>
        <w:pStyle w:val="2"/>
        <w:rPr>
          <w:rFonts w:hint="default" w:ascii="Times New Roman" w:hAnsi="Times New Roman"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11" name="图片 11" descr="梅州市佳顺发ZX910255101_00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梅州市佳顺发ZX910255101_00_compressed"/>
                    <pic:cNvPicPr>
                      <a:picLocks noChangeAspect="1"/>
                    </pic:cNvPicPr>
                  </pic:nvPicPr>
                  <pic:blipFill>
                    <a:blip r:embed="rId17"/>
                    <a:stretch>
                      <a:fillRect/>
                    </a:stretch>
                  </pic:blipFill>
                  <pic:spPr>
                    <a:xfrm>
                      <a:off x="0" y="0"/>
                      <a:ext cx="5271770" cy="7454265"/>
                    </a:xfrm>
                    <a:prstGeom prst="rect">
                      <a:avLst/>
                    </a:prstGeom>
                  </pic:spPr>
                </pic:pic>
              </a:graphicData>
            </a:graphic>
          </wp:inline>
        </w:drawing>
      </w:r>
    </w:p>
    <w:p>
      <w:pPr>
        <w:widowControl/>
        <w:jc w:val="left"/>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10" name="图片 10" descr="梅州市佳顺发ZX910255101_01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梅州市佳顺发ZX910255101_01_compressed"/>
                    <pic:cNvPicPr>
                      <a:picLocks noChangeAspect="1"/>
                    </pic:cNvPicPr>
                  </pic:nvPicPr>
                  <pic:blipFill>
                    <a:blip r:embed="rId18"/>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9" name="图片 9" descr="梅州市佳顺发ZX910255101_02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梅州市佳顺发ZX910255101_02_compressed"/>
                    <pic:cNvPicPr>
                      <a:picLocks noChangeAspect="1"/>
                    </pic:cNvPicPr>
                  </pic:nvPicPr>
                  <pic:blipFill>
                    <a:blip r:embed="rId19"/>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8" name="图片 8" descr="梅州市佳顺发ZX910255101_03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梅州市佳顺发ZX910255101_03_compressed"/>
                    <pic:cNvPicPr>
                      <a:picLocks noChangeAspect="1"/>
                    </pic:cNvPicPr>
                  </pic:nvPicPr>
                  <pic:blipFill>
                    <a:blip r:embed="rId20"/>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7" name="图片 7" descr="梅州市佳顺发ZX910255101_04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梅州市佳顺发ZX910255101_04_compressed"/>
                    <pic:cNvPicPr>
                      <a:picLocks noChangeAspect="1"/>
                    </pic:cNvPicPr>
                  </pic:nvPicPr>
                  <pic:blipFill>
                    <a:blip r:embed="rId21"/>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5" name="图片 5" descr="梅州市佳顺发ZX910255101_05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梅州市佳顺发ZX910255101_05_compressed"/>
                    <pic:cNvPicPr>
                      <a:picLocks noChangeAspect="1"/>
                    </pic:cNvPicPr>
                  </pic:nvPicPr>
                  <pic:blipFill>
                    <a:blip r:embed="rId22"/>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4" name="图片 4" descr="梅州市佳顺发ZX910255101_06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梅州市佳顺发ZX910255101_06_compressed"/>
                    <pic:cNvPicPr>
                      <a:picLocks noChangeAspect="1"/>
                    </pic:cNvPicPr>
                  </pic:nvPicPr>
                  <pic:blipFill>
                    <a:blip r:embed="rId23"/>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3" name="图片 3" descr="梅州市佳顺发ZX910255101_07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梅州市佳顺发ZX910255101_07_compressed"/>
                    <pic:cNvPicPr>
                      <a:picLocks noChangeAspect="1"/>
                    </pic:cNvPicPr>
                  </pic:nvPicPr>
                  <pic:blipFill>
                    <a:blip r:embed="rId24"/>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2" name="图片 2" descr="梅州市佳顺发ZX910255101_08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梅州市佳顺发ZX910255101_08_compressed"/>
                    <pic:cNvPicPr>
                      <a:picLocks noChangeAspect="1"/>
                    </pic:cNvPicPr>
                  </pic:nvPicPr>
                  <pic:blipFill>
                    <a:blip r:embed="rId25"/>
                    <a:stretch>
                      <a:fillRect/>
                    </a:stretch>
                  </pic:blipFill>
                  <pic:spPr>
                    <a:xfrm>
                      <a:off x="0" y="0"/>
                      <a:ext cx="5271770" cy="7454265"/>
                    </a:xfrm>
                    <a:prstGeom prst="rect">
                      <a:avLst/>
                    </a:prstGeom>
                  </pic:spPr>
                </pic:pic>
              </a:graphicData>
            </a:graphic>
          </wp:inline>
        </w:drawing>
      </w:r>
    </w:p>
    <w:p>
      <w:pPr>
        <w:widowControl/>
        <w:jc w:val="left"/>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br w:type="page"/>
      </w:r>
    </w:p>
    <w:p>
      <w:pPr>
        <w:spacing w:line="396" w:lineRule="auto"/>
        <w:jc w:val="left"/>
        <w:outlineLvl w:val="0"/>
        <w:rPr>
          <w:rFonts w:hint="default" w:ascii="Times New Roman" w:hAnsi="Times New Roman" w:cs="Times New Roman"/>
          <w:color w:val="000000" w:themeColor="text1"/>
          <w:sz w:val="24"/>
          <w:szCs w:val="28"/>
          <w:lang w:val="en-US" w:eastAsia="zh-CN"/>
          <w14:textFill>
            <w14:solidFill>
              <w14:schemeClr w14:val="tx1"/>
            </w14:solidFill>
          </w14:textFill>
        </w:rPr>
      </w:pPr>
      <w:bookmarkStart w:id="31" w:name="_Toc25542"/>
      <w:r>
        <w:rPr>
          <w:rFonts w:hint="default" w:ascii="Times New Roman" w:hAnsi="Times New Roman" w:cs="Times New Roman"/>
          <w:color w:val="000000" w:themeColor="text1"/>
          <w:sz w:val="24"/>
          <w:szCs w:val="28"/>
          <w14:textFill>
            <w14:solidFill>
              <w14:schemeClr w14:val="tx1"/>
            </w14:solidFill>
          </w14:textFill>
        </w:rPr>
        <w:t>附件</w:t>
      </w:r>
      <w:r>
        <w:rPr>
          <w:rFonts w:hint="default" w:ascii="Times New Roman" w:hAnsi="Times New Roman" w:cs="Times New Roman"/>
          <w:color w:val="000000" w:themeColor="text1"/>
          <w:sz w:val="24"/>
          <w:szCs w:val="28"/>
          <w:lang w:val="en-US" w:eastAsia="zh-CN"/>
          <w14:textFill>
            <w14:solidFill>
              <w14:schemeClr w14:val="tx1"/>
            </w14:solidFill>
          </w14:textFill>
        </w:rPr>
        <w:t>4</w:t>
      </w:r>
      <w:r>
        <w:rPr>
          <w:rFonts w:hint="default" w:ascii="Times New Roman" w:hAnsi="Times New Roman" w:cs="Times New Roman"/>
          <w:color w:val="000000" w:themeColor="text1"/>
          <w:sz w:val="24"/>
          <w:szCs w:val="28"/>
          <w14:textFill>
            <w14:solidFill>
              <w14:schemeClr w14:val="tx1"/>
            </w14:solidFill>
          </w14:textFill>
        </w:rPr>
        <w:t xml:space="preserve">  </w:t>
      </w:r>
      <w:r>
        <w:rPr>
          <w:rFonts w:hint="default" w:ascii="Times New Roman" w:hAnsi="Times New Roman" w:cs="Times New Roman"/>
          <w:color w:val="000000" w:themeColor="text1"/>
          <w:sz w:val="24"/>
          <w:szCs w:val="28"/>
          <w:lang w:val="en-US" w:eastAsia="zh-CN"/>
          <w14:textFill>
            <w14:solidFill>
              <w14:schemeClr w14:val="tx1"/>
            </w14:solidFill>
          </w14:textFill>
        </w:rPr>
        <w:t>广东准星检测有限公司现场验收检测报告2</w:t>
      </w:r>
      <w:bookmarkEnd w:id="31"/>
    </w:p>
    <w:p>
      <w:pPr>
        <w:pStyle w:val="2"/>
        <w:jc w:val="center"/>
        <w:rPr>
          <w:rFonts w:hint="default" w:ascii="Times New Roman" w:hAnsi="Times New Roman"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935" distR="114935">
            <wp:extent cx="5471795" cy="7738745"/>
            <wp:effectExtent l="0" t="0" r="14605" b="14605"/>
            <wp:docPr id="17" name="图片 17" descr="梅州市佳顺发ZX910255101-1_00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梅州市佳顺发ZX910255101-1_00_compressed"/>
                    <pic:cNvPicPr>
                      <a:picLocks noChangeAspect="1"/>
                    </pic:cNvPicPr>
                  </pic:nvPicPr>
                  <pic:blipFill>
                    <a:blip r:embed="rId26"/>
                    <a:stretch>
                      <a:fillRect/>
                    </a:stretch>
                  </pic:blipFill>
                  <pic:spPr>
                    <a:xfrm>
                      <a:off x="0" y="0"/>
                      <a:ext cx="5471795" cy="7738745"/>
                    </a:xfrm>
                    <a:prstGeom prst="rect">
                      <a:avLst/>
                    </a:prstGeom>
                  </pic:spPr>
                </pic:pic>
              </a:graphicData>
            </a:graphic>
          </wp:inline>
        </w:drawing>
      </w:r>
    </w:p>
    <w:p>
      <w:pPr>
        <w:pStyle w:val="2"/>
        <w:rPr>
          <w:rFonts w:hint="default" w:ascii="Times New Roman" w:hAnsi="Times New Roman" w:cs="Times New Roman"/>
          <w:color w:val="000000" w:themeColor="text1"/>
          <w:sz w:val="24"/>
          <w:szCs w:val="28"/>
          <w:lang w:val="en-US" w:eastAsia="zh-CN"/>
          <w14:textFill>
            <w14:solidFill>
              <w14:schemeClr w14:val="tx1"/>
            </w14:solidFill>
          </w14:textFill>
        </w:rPr>
      </w:pPr>
    </w:p>
    <w:p>
      <w:pPr>
        <w:widowControl/>
        <w:jc w:val="left"/>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15" name="图片 15" descr="梅州市佳顺发ZX910255101-1_01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梅州市佳顺发ZX910255101-1_01_compressed"/>
                    <pic:cNvPicPr>
                      <a:picLocks noChangeAspect="1"/>
                    </pic:cNvPicPr>
                  </pic:nvPicPr>
                  <pic:blipFill>
                    <a:blip r:embed="rId27"/>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14" name="图片 14" descr="梅州市佳顺发ZX910255101-1_02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梅州市佳顺发ZX910255101-1_02_compressed"/>
                    <pic:cNvPicPr>
                      <a:picLocks noChangeAspect="1"/>
                    </pic:cNvPicPr>
                  </pic:nvPicPr>
                  <pic:blipFill>
                    <a:blip r:embed="rId28"/>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13" name="图片 13" descr="梅州市佳顺发ZX910255101-1_03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梅州市佳顺发ZX910255101-1_03_compressed"/>
                    <pic:cNvPicPr>
                      <a:picLocks noChangeAspect="1"/>
                    </pic:cNvPicPr>
                  </pic:nvPicPr>
                  <pic:blipFill>
                    <a:blip r:embed="rId29"/>
                    <a:stretch>
                      <a:fillRect/>
                    </a:stretch>
                  </pic:blipFill>
                  <pic:spPr>
                    <a:xfrm>
                      <a:off x="0" y="0"/>
                      <a:ext cx="5271770" cy="7454265"/>
                    </a:xfrm>
                    <a:prstGeom prst="rect">
                      <a:avLst/>
                    </a:prstGeom>
                  </pic:spPr>
                </pic:pic>
              </a:graphicData>
            </a:graphic>
          </wp:inline>
        </w:drawing>
      </w: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271770" cy="7454265"/>
            <wp:effectExtent l="0" t="0" r="5080" b="13335"/>
            <wp:docPr id="12" name="图片 12" descr="梅州市佳顺发ZX910255101-1_04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梅州市佳顺发ZX910255101-1_04_compressed"/>
                    <pic:cNvPicPr>
                      <a:picLocks noChangeAspect="1"/>
                    </pic:cNvPicPr>
                  </pic:nvPicPr>
                  <pic:blipFill>
                    <a:blip r:embed="rId30"/>
                    <a:stretch>
                      <a:fillRect/>
                    </a:stretch>
                  </pic:blipFill>
                  <pic:spPr>
                    <a:xfrm>
                      <a:off x="0" y="0"/>
                      <a:ext cx="5271770" cy="7454265"/>
                    </a:xfrm>
                    <a:prstGeom prst="rect">
                      <a:avLst/>
                    </a:prstGeom>
                  </pic:spPr>
                </pic:pic>
              </a:graphicData>
            </a:graphic>
          </wp:inline>
        </w:drawing>
      </w:r>
    </w:p>
    <w:p>
      <w:pPr>
        <w:rPr>
          <w:rFonts w:hint="default" w:ascii="Times New Roman" w:hAnsi="Times New Roman" w:eastAsia="宋体" w:cs="Times New Roman"/>
          <w:color w:val="000000" w:themeColor="text1"/>
          <w:lang w:eastAsia="zh-CN"/>
          <w14:textFill>
            <w14:solidFill>
              <w14:schemeClr w14:val="tx1"/>
            </w14:solidFill>
          </w14:textFill>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86"/>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libri">
    <w:altName w:val="Segoe UI"/>
    <w:panose1 w:val="020F0502020204030204"/>
    <w:charset w:val="86"/>
    <w:family w:val="swiss"/>
    <w:pitch w:val="default"/>
    <w:sig w:usb0="00000000" w:usb1="00000000" w:usb2="00000001" w:usb3="00000000" w:csb0="0000019F" w:csb1="00000000"/>
  </w:font>
  <w:font w:name="Calibri">
    <w:altName w:val="Segoe UI"/>
    <w:panose1 w:val="00000000000000000000"/>
    <w:charset w:val="00"/>
    <w:family w:val="auto"/>
    <w:pitch w:val="default"/>
    <w:sig w:usb0="00000000" w:usb1="00000000" w:usb2="00000000" w:usb3="00000000" w:csb0="00000000" w:csb1="00000000"/>
  </w:font>
  <w:font w:name="Impact">
    <w:panose1 w:val="020B0806030902050204"/>
    <w:charset w:val="00"/>
    <w:family w:val="swiss"/>
    <w:pitch w:val="default"/>
    <w:sig w:usb0="00000287" w:usb1="00000000" w:usb2="00000000" w:usb3="00000000" w:csb0="2000009F" w:csb1="DFD70000"/>
  </w:font>
  <w:font w:name="隶书">
    <w:altName w:val="宋体"/>
    <w:panose1 w:val="02010509060101010101"/>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兰亭超细黑简体">
    <w:altName w:val="微软雅黑"/>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egoe UI">
    <w:panose1 w:val="020B0502040204020203"/>
    <w:charset w:val="86"/>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1D736"/>
    <w:multiLevelType w:val="singleLevel"/>
    <w:tmpl w:val="2241D736"/>
    <w:lvl w:ilvl="0" w:tentative="0">
      <w:start w:val="1"/>
      <w:numFmt w:val="decimal"/>
      <w:suff w:val="nothing"/>
      <w:lvlText w:val="%1、"/>
      <w:lvlJc w:val="left"/>
    </w:lvl>
  </w:abstractNum>
  <w:abstractNum w:abstractNumId="1">
    <w:nsid w:val="3A2F5B01"/>
    <w:multiLevelType w:val="multilevel"/>
    <w:tmpl w:val="3A2F5B01"/>
    <w:lvl w:ilvl="0" w:tentative="0">
      <w:start w:val="1"/>
      <w:numFmt w:val="decimal"/>
      <w:lvlText w:val="%1、"/>
      <w:lvlJc w:val="left"/>
      <w:pPr>
        <w:ind w:left="990" w:hanging="450"/>
      </w:pPr>
      <w:rPr>
        <w:rFonts w:hint="default"/>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2">
    <w:nsid w:val="50ABD03E"/>
    <w:multiLevelType w:val="singleLevel"/>
    <w:tmpl w:val="50ABD03E"/>
    <w:lvl w:ilvl="0" w:tentative="0">
      <w:start w:val="1"/>
      <w:numFmt w:val="decimal"/>
      <w:suff w:val="nothing"/>
      <w:lvlText w:val="%1、"/>
      <w:lvlJc w:val="left"/>
    </w:lvl>
  </w:abstractNum>
  <w:abstractNum w:abstractNumId="3">
    <w:nsid w:val="5AFE4342"/>
    <w:multiLevelType w:val="singleLevel"/>
    <w:tmpl w:val="5AFE4342"/>
    <w:lvl w:ilvl="0" w:tentative="0">
      <w:start w:val="3"/>
      <w:numFmt w:val="decimal"/>
      <w:suff w:val="nothing"/>
      <w:lvlText w:val="%1、"/>
      <w:lvlJc w:val="left"/>
    </w:lvl>
  </w:abstractNum>
  <w:abstractNum w:abstractNumId="4">
    <w:nsid w:val="5B023F9C"/>
    <w:multiLevelType w:val="singleLevel"/>
    <w:tmpl w:val="5B023F9C"/>
    <w:lvl w:ilvl="0" w:tentative="0">
      <w:start w:val="1"/>
      <w:numFmt w:val="decimal"/>
      <w:suff w:val="nothing"/>
      <w:lvlText w:val="%1、"/>
      <w:lvlJc w:val="left"/>
    </w:lvl>
  </w:abstractNum>
  <w:abstractNum w:abstractNumId="5">
    <w:nsid w:val="5B0D03C5"/>
    <w:multiLevelType w:val="singleLevel"/>
    <w:tmpl w:val="5B0D03C5"/>
    <w:lvl w:ilvl="0" w:tentative="0">
      <w:start w:val="3"/>
      <w:numFmt w:val="decimal"/>
      <w:suff w:val="nothing"/>
      <w:lvlText w:val="%1、"/>
      <w:lvlJc w:val="left"/>
    </w:lvl>
  </w:abstractNum>
  <w:abstractNum w:abstractNumId="6">
    <w:nsid w:val="5B0E0CBA"/>
    <w:multiLevelType w:val="singleLevel"/>
    <w:tmpl w:val="5B0E0CBA"/>
    <w:lvl w:ilvl="0" w:tentative="0">
      <w:start w:val="5"/>
      <w:numFmt w:val="decimal"/>
      <w:suff w:val="nothing"/>
      <w:lvlText w:val="%1、"/>
      <w:lvlJc w:val="left"/>
    </w:lvl>
  </w:abstractNum>
  <w:abstractNum w:abstractNumId="7">
    <w:nsid w:val="5B0E2045"/>
    <w:multiLevelType w:val="singleLevel"/>
    <w:tmpl w:val="5B0E2045"/>
    <w:lvl w:ilvl="0" w:tentative="0">
      <w:start w:val="2"/>
      <w:numFmt w:val="decimal"/>
      <w:suff w:val="nothing"/>
      <w:lvlText w:val="（%1）"/>
      <w:lvlJc w:val="left"/>
    </w:lvl>
  </w:abstractNum>
  <w:abstractNum w:abstractNumId="8">
    <w:nsid w:val="6EA57FEB"/>
    <w:multiLevelType w:val="singleLevel"/>
    <w:tmpl w:val="6EA57FEB"/>
    <w:lvl w:ilvl="0" w:tentative="0">
      <w:start w:val="2"/>
      <w:numFmt w:val="decimal"/>
      <w:lvlText w:val="%1."/>
      <w:lvlJc w:val="left"/>
      <w:pPr>
        <w:tabs>
          <w:tab w:val="left" w:pos="312"/>
        </w:tabs>
      </w:pPr>
    </w:lvl>
  </w:abstractNum>
  <w:abstractNum w:abstractNumId="9">
    <w:nsid w:val="7B7630BE"/>
    <w:multiLevelType w:val="multilevel"/>
    <w:tmpl w:val="7B7630BE"/>
    <w:lvl w:ilvl="0" w:tentative="0">
      <w:start w:val="1"/>
      <w:numFmt w:val="decimal"/>
      <w:lvlText w:val="%1、"/>
      <w:lvlJc w:val="left"/>
      <w:pPr>
        <w:ind w:left="990" w:hanging="450"/>
      </w:pPr>
      <w:rPr>
        <w:rFonts w:hint="default"/>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num w:numId="1">
    <w:abstractNumId w:val="5"/>
  </w:num>
  <w:num w:numId="2">
    <w:abstractNumId w:val="0"/>
  </w:num>
  <w:num w:numId="3">
    <w:abstractNumId w:val="3"/>
  </w:num>
  <w:num w:numId="4">
    <w:abstractNumId w:val="4"/>
  </w:num>
  <w:num w:numId="5">
    <w:abstractNumId w:val="6"/>
  </w:num>
  <w:num w:numId="6">
    <w:abstractNumId w:val="9"/>
  </w:num>
  <w:num w:numId="7">
    <w:abstractNumId w:val="2"/>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2432E3"/>
    <w:rsid w:val="086F388C"/>
    <w:rsid w:val="0B482666"/>
    <w:rsid w:val="0C245659"/>
    <w:rsid w:val="0EE6618C"/>
    <w:rsid w:val="15650653"/>
    <w:rsid w:val="194B0448"/>
    <w:rsid w:val="26540CBE"/>
    <w:rsid w:val="36A55F97"/>
    <w:rsid w:val="37071238"/>
    <w:rsid w:val="39097B4A"/>
    <w:rsid w:val="3A391516"/>
    <w:rsid w:val="3E124813"/>
    <w:rsid w:val="4AB259EB"/>
    <w:rsid w:val="50F007F7"/>
    <w:rsid w:val="5DB674B5"/>
    <w:rsid w:val="64115432"/>
    <w:rsid w:val="6BB00451"/>
    <w:rsid w:val="70D018B8"/>
    <w:rsid w:val="722A70A6"/>
    <w:rsid w:val="742432E3"/>
    <w:rsid w:val="7CAF2F2E"/>
    <w:rsid w:val="7D884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next w:val="1"/>
    <w:qFormat/>
    <w:uiPriority w:val="9"/>
    <w:pPr>
      <w:keepNext/>
      <w:keepLines/>
      <w:pageBreakBefore/>
      <w:widowControl w:val="0"/>
      <w:spacing w:before="120" w:after="120" w:line="360" w:lineRule="auto"/>
      <w:ind w:firstLine="0"/>
      <w:jc w:val="center"/>
      <w:outlineLvl w:val="0"/>
    </w:pPr>
    <w:rPr>
      <w:rFonts w:ascii="Impact" w:hAnsi="Impact" w:eastAsia="隶书" w:cs="Times New Roman"/>
      <w:kern w:val="44"/>
      <w:sz w:val="36"/>
      <w:szCs w:val="22"/>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spacing w:line="360" w:lineRule="auto"/>
      <w:ind w:firstLine="200" w:firstLineChars="200"/>
      <w:jc w:val="both"/>
    </w:pPr>
    <w:rPr>
      <w:rFonts w:ascii="宋体" w:hAnsi="Times New Roman" w:eastAsia="宋体" w:cs="宋体"/>
      <w:color w:val="000000"/>
      <w:sz w:val="24"/>
      <w:szCs w:val="24"/>
      <w:lang w:val="en-US" w:eastAsia="zh-CN" w:bidi="ar-SA"/>
    </w:rPr>
  </w:style>
  <w:style w:type="paragraph" w:styleId="4">
    <w:name w:val="Normal Indent"/>
    <w:basedOn w:val="1"/>
    <w:unhideWhenUsed/>
    <w:qFormat/>
    <w:uiPriority w:val="99"/>
    <w:pPr>
      <w:widowControl w:val="0"/>
      <w:ind w:firstLine="420"/>
      <w:jc w:val="both"/>
    </w:pPr>
    <w:rPr>
      <w:rFonts w:ascii="Calibri" w:hAnsi="Calibri" w:eastAsia="宋体" w:cs="Times New Roman"/>
      <w:kern w:val="2"/>
      <w:sz w:val="21"/>
      <w:szCs w:val="20"/>
      <w:lang w:val="en-US" w:eastAsia="zh-CN" w:bidi="ar-SA"/>
    </w:rPr>
  </w:style>
  <w:style w:type="paragraph" w:styleId="5">
    <w:name w:val="Body Text Indent"/>
    <w:unhideWhenUsed/>
    <w:qFormat/>
    <w:uiPriority w:val="99"/>
    <w:pPr>
      <w:widowControl w:val="0"/>
      <w:spacing w:before="240" w:line="360" w:lineRule="auto"/>
      <w:ind w:firstLine="482"/>
      <w:jc w:val="both"/>
    </w:pPr>
    <w:rPr>
      <w:rFonts w:ascii="宋体" w:hAnsi="Times New Roman" w:eastAsia="宋体" w:cs="Times New Roman"/>
      <w:kern w:val="2"/>
      <w:sz w:val="24"/>
      <w:szCs w:val="20"/>
      <w:lang w:val="en-US" w:eastAsia="zh-CN" w:bidi="ar-SA"/>
    </w:rPr>
  </w:style>
  <w:style w:type="paragraph" w:styleId="6">
    <w:name w:val="Plain Text"/>
    <w:basedOn w:val="1"/>
    <w:unhideWhenUsed/>
    <w:qFormat/>
    <w:uiPriority w:val="0"/>
    <w:pPr>
      <w:widowControl w:val="0"/>
      <w:jc w:val="both"/>
    </w:pPr>
    <w:rPr>
      <w:rFonts w:ascii="宋体" w:hAnsi="Courier New" w:eastAsia="宋体" w:cs="Times New Roman"/>
      <w:kern w:val="2"/>
      <w:sz w:val="21"/>
      <w:szCs w:val="21"/>
      <w:lang w:val="en-US" w:eastAsia="zh-CN" w:bidi="ar-SA"/>
    </w:rPr>
  </w:style>
  <w:style w:type="paragraph" w:styleId="7">
    <w:name w:val="footer"/>
    <w:unhideWhenUsed/>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next w:val="1"/>
    <w:unhideWhenUsed/>
    <w:qFormat/>
    <w:uiPriority w:val="39"/>
    <w:pPr>
      <w:widowControl w:val="0"/>
      <w:snapToGrid w:val="0"/>
      <w:spacing w:before="120" w:after="120"/>
      <w:jc w:val="center"/>
    </w:pPr>
    <w:rPr>
      <w:rFonts w:ascii="宋体" w:hAnsi="宋体" w:eastAsia="宋体" w:cs="Times New Roman"/>
      <w:bCs/>
      <w:caps/>
      <w:kern w:val="2"/>
      <w:sz w:val="21"/>
      <w:szCs w:val="21"/>
      <w:lang w:val="en-US" w:eastAsia="zh-CN" w:bidi="ar-SA"/>
    </w:rPr>
  </w:style>
  <w:style w:type="paragraph" w:styleId="10">
    <w:name w:val="HTML Preformatt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lang w:val="en-US" w:eastAsia="zh-CN" w:bidi="ar-SA"/>
    </w:rPr>
  </w:style>
  <w:style w:type="paragraph" w:styleId="11">
    <w:name w:val="Body Text First Indent 2"/>
    <w:unhideWhenUsed/>
    <w:qFormat/>
    <w:uiPriority w:val="99"/>
    <w:pPr>
      <w:widowControl w:val="0"/>
      <w:spacing w:before="240" w:line="360" w:lineRule="auto"/>
      <w:ind w:firstLine="420" w:firstLineChars="200"/>
      <w:jc w:val="both"/>
    </w:pPr>
    <w:rPr>
      <w:rFonts w:ascii="宋体" w:hAnsi="Times New Roman" w:eastAsia="宋体" w:cs="Times New Roman"/>
      <w:kern w:val="2"/>
      <w:sz w:val="24"/>
      <w:szCs w:val="20"/>
      <w:lang w:val="en-US" w:eastAsia="zh-CN" w:bidi="ar-SA"/>
    </w:rPr>
  </w:style>
  <w:style w:type="character" w:customStyle="1" w:styleId="14">
    <w:name w:val="apple-style-span"/>
    <w:basedOn w:val="13"/>
    <w:qFormat/>
    <w:uiPriority w:val="0"/>
  </w:style>
  <w:style w:type="paragraph" w:styleId="15">
    <w:name w:val="List Paragraph"/>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16">
    <w:name w:val="表格1"/>
    <w:qFormat/>
    <w:uiPriority w:val="0"/>
    <w:pPr>
      <w:widowControl w:val="0"/>
      <w:adjustRightInd w:val="0"/>
      <w:spacing w:after="120" w:line="20" w:lineRule="atLeast"/>
      <w:jc w:val="center"/>
      <w:textAlignment w:val="baseline"/>
    </w:pPr>
    <w:rPr>
      <w:rFonts w:ascii="仿宋体" w:hAnsi="Calibri" w:eastAsia="宋体" w:cs="Arial Unicode MS"/>
      <w:color w:val="000000"/>
      <w:kern w:val="0"/>
      <w:sz w:val="21"/>
      <w:szCs w:val="21"/>
      <w:lang w:val="en-US" w:eastAsia="zh-CN" w:bidi="ar-SA"/>
    </w:rPr>
  </w:style>
  <w:style w:type="paragraph" w:customStyle="1" w:styleId="17">
    <w:name w:val="列出段落1"/>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18">
    <w:name w:val="WPSOffice手动目录 1"/>
    <w:uiPriority w:val="0"/>
    <w:pPr>
      <w:ind w:leftChars="0"/>
    </w:pPr>
    <w:rPr>
      <w:rFonts w:asciiTheme="minorHAnsi" w:hAnsiTheme="minorHAnsi" w:eastAsiaTheme="minorHAnsi" w:cstheme="minorBidi"/>
      <w:sz w:val="20"/>
      <w:szCs w:val="20"/>
    </w:rPr>
  </w:style>
  <w:style w:type="paragraph" w:customStyle="1" w:styleId="19">
    <w:name w:val="Table Paragraph"/>
    <w:basedOn w:val="1"/>
    <w:qFormat/>
    <w:uiPriority w:val="1"/>
    <w:pPr>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2019-11-19T02:14:00Z</dcterms:created>
  <dc:creator>xzc</dc:creator>
  <cp:lastModifiedBy>xzc</cp:lastModifiedBy>
  <dcterms:modified xsi:type="dcterms:W3CDTF">2020-03-21T01:29:05Z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